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99F" w:rsidRDefault="0022799F">
      <w:pPr>
        <w:spacing w:line="1" w:lineRule="exact"/>
      </w:pPr>
    </w:p>
    <w:p w:rsidR="0022799F" w:rsidRDefault="00610CB2">
      <w:pPr>
        <w:framePr w:wrap="none" w:vAnchor="page" w:hAnchor="page" w:x="1742" w:y="703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376545" cy="51816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37654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99F" w:rsidRDefault="00610CB2">
      <w:pPr>
        <w:pStyle w:val="Teksttreci0"/>
        <w:framePr w:wrap="none" w:vAnchor="page" w:hAnchor="page" w:x="1445" w:y="2071"/>
        <w:spacing w:after="0" w:line="240" w:lineRule="auto"/>
      </w:pPr>
      <w:r>
        <w:rPr>
          <w:b/>
          <w:bCs/>
        </w:rPr>
        <w:t xml:space="preserve">Załącznik nr 4 do </w:t>
      </w:r>
      <w:r w:rsidRPr="00BC4CD7">
        <w:rPr>
          <w:b/>
          <w:bCs/>
          <w:sz w:val="24"/>
          <w:szCs w:val="24"/>
        </w:rPr>
        <w:t>Regulaminu</w:t>
      </w:r>
      <w:r>
        <w:rPr>
          <w:b/>
          <w:bCs/>
        </w:rPr>
        <w:t xml:space="preserve"> wyboru projektów</w:t>
      </w:r>
    </w:p>
    <w:p w:rsidR="0022799F" w:rsidRDefault="00610CB2">
      <w:pPr>
        <w:pStyle w:val="Nagwek10"/>
        <w:framePr w:wrap="none" w:vAnchor="page" w:hAnchor="page" w:x="1445" w:y="3525"/>
        <w:spacing w:after="0" w:line="240" w:lineRule="auto"/>
      </w:pPr>
      <w:bookmarkStart w:id="0" w:name="bookmark0"/>
      <w:r>
        <w:rPr>
          <w:u w:val="none"/>
        </w:rPr>
        <w:t xml:space="preserve">Instrukcja wypełniania </w:t>
      </w:r>
      <w:r w:rsidRPr="00BC4CD7">
        <w:rPr>
          <w:sz w:val="24"/>
          <w:szCs w:val="24"/>
          <w:u w:val="none"/>
        </w:rPr>
        <w:t>załączników</w:t>
      </w:r>
      <w:bookmarkEnd w:id="0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6811"/>
      </w:tblGrid>
      <w:tr w:rsidR="0022799F">
        <w:trPr>
          <w:trHeight w:hRule="exact" w:val="81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sz w:val="24"/>
                <w:szCs w:val="24"/>
              </w:rPr>
              <w:t>Fundusze Europejskie dla Podlaskiego 2021-2027</w:t>
            </w:r>
          </w:p>
        </w:tc>
      </w:tr>
      <w:tr w:rsidR="0022799F">
        <w:trPr>
          <w:trHeight w:hRule="exact" w:val="7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b/>
                <w:bCs/>
                <w:sz w:val="24"/>
                <w:szCs w:val="24"/>
              </w:rPr>
              <w:t>Priorytet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sz w:val="24"/>
                <w:szCs w:val="24"/>
              </w:rPr>
              <w:t>V. Zrównoważony rozwój terytorialny</w:t>
            </w:r>
          </w:p>
        </w:tc>
      </w:tr>
      <w:tr w:rsidR="0022799F">
        <w:trPr>
          <w:trHeight w:hRule="exact" w:val="71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b/>
                <w:bCs/>
                <w:sz w:val="24"/>
                <w:szCs w:val="24"/>
              </w:rPr>
              <w:t>Działanie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sz w:val="24"/>
                <w:szCs w:val="24"/>
              </w:rPr>
              <w:t>05.04 Lokalna kultura i turystyka</w:t>
            </w:r>
          </w:p>
        </w:tc>
      </w:tr>
      <w:tr w:rsidR="0022799F" w:rsidTr="00BC4CD7">
        <w:trPr>
          <w:trHeight w:hRule="exact" w:val="76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b/>
                <w:bCs/>
                <w:sz w:val="24"/>
                <w:szCs w:val="24"/>
              </w:rPr>
              <w:t>Typ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6CD6" w:rsidRPr="005C6CD6" w:rsidRDefault="005C6CD6" w:rsidP="005C6CD6">
            <w:pPr>
              <w:framePr w:w="9221" w:h="5726" w:wrap="none" w:vAnchor="page" w:hAnchor="page" w:x="1445" w:y="4399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C4CD7" w:rsidRPr="002E2B8B">
              <w:rPr>
                <w:rFonts w:ascii="Arial" w:hAnsi="Arial" w:cs="Arial"/>
              </w:rPr>
              <w:t>.</w:t>
            </w:r>
            <w:r w:rsidRPr="00FE54CC">
              <w:rPr>
                <w:rFonts w:ascii="Arial" w:hAnsi="Arial" w:cs="Arial"/>
                <w:b/>
              </w:rPr>
              <w:t xml:space="preserve"> </w:t>
            </w:r>
            <w:r w:rsidRPr="005C6CD6">
              <w:rPr>
                <w:rFonts w:ascii="Arial" w:hAnsi="Arial" w:cs="Arial"/>
              </w:rPr>
              <w:t>Ochrona, rozwój i promowanie dziedzictwa kulturowego i usług w dziedzinie kultury</w:t>
            </w:r>
          </w:p>
          <w:p w:rsidR="0022799F" w:rsidRPr="002E2B8B" w:rsidRDefault="0022799F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2799F">
        <w:trPr>
          <w:trHeight w:hRule="exact" w:val="69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b/>
                <w:bCs/>
                <w:sz w:val="24"/>
                <w:szCs w:val="24"/>
              </w:rPr>
              <w:t>Nabór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99F" w:rsidRPr="002E2B8B" w:rsidRDefault="004959FC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  <w:shd w:val="clear" w:color="auto" w:fill="FFFFFF"/>
              </w:rPr>
              <w:t>FEPD.05.04-IZ.00-027/26</w:t>
            </w:r>
          </w:p>
        </w:tc>
      </w:tr>
      <w:tr w:rsidR="0022799F">
        <w:trPr>
          <w:trHeight w:hRule="exact" w:val="8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b/>
                <w:bCs/>
                <w:sz w:val="24"/>
                <w:szCs w:val="24"/>
              </w:rPr>
              <w:t>Ogłoszenie naboru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99F" w:rsidRPr="00BC4CD7" w:rsidRDefault="005C6CD6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="002E2B8B">
              <w:rPr>
                <w:sz w:val="24"/>
                <w:szCs w:val="24"/>
              </w:rPr>
              <w:t>.2026</w:t>
            </w:r>
            <w:r w:rsidR="00610CB2" w:rsidRPr="00BC4CD7">
              <w:rPr>
                <w:sz w:val="24"/>
                <w:szCs w:val="24"/>
              </w:rPr>
              <w:t xml:space="preserve"> r.</w:t>
            </w:r>
          </w:p>
        </w:tc>
      </w:tr>
      <w:tr w:rsidR="0022799F">
        <w:trPr>
          <w:trHeight w:hRule="exact" w:val="70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b/>
                <w:bCs/>
                <w:sz w:val="24"/>
                <w:szCs w:val="24"/>
              </w:rPr>
              <w:t>Nabór wniosku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799F" w:rsidRPr="00BC4CD7" w:rsidRDefault="00BC4CD7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sz w:val="24"/>
                <w:szCs w:val="24"/>
              </w:rPr>
              <w:t xml:space="preserve">od dnia </w:t>
            </w:r>
            <w:r w:rsidR="005C6CD6">
              <w:rPr>
                <w:rFonts w:ascii="Tahoma" w:eastAsia="Times New Roman" w:hAnsi="Tahoma" w:cs="Tahoma"/>
                <w:bCs/>
                <w:sz w:val="24"/>
                <w:szCs w:val="24"/>
              </w:rPr>
              <w:t>14.11</w:t>
            </w:r>
            <w:r w:rsidR="002E2B8B" w:rsidRPr="002E2B8B">
              <w:rPr>
                <w:rFonts w:ascii="Tahoma" w:eastAsia="Times New Roman" w:hAnsi="Tahoma" w:cs="Tahoma"/>
                <w:bCs/>
                <w:sz w:val="24"/>
                <w:szCs w:val="24"/>
              </w:rPr>
              <w:t>.2026</w:t>
            </w:r>
            <w:r w:rsidR="002E2B8B" w:rsidRPr="00AE6F0E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r w:rsidR="00610CB2" w:rsidRPr="00BC4CD7">
              <w:rPr>
                <w:sz w:val="24"/>
                <w:szCs w:val="24"/>
              </w:rPr>
              <w:t xml:space="preserve">r. </w:t>
            </w:r>
            <w:r w:rsidRPr="00BC4CD7">
              <w:rPr>
                <w:sz w:val="24"/>
                <w:szCs w:val="24"/>
              </w:rPr>
              <w:t xml:space="preserve">od godziny 8.00 do końca dnia </w:t>
            </w:r>
            <w:r w:rsidR="005C6CD6">
              <w:rPr>
                <w:rFonts w:ascii="Tahoma" w:eastAsia="Times New Roman" w:hAnsi="Tahoma" w:cs="Tahoma"/>
                <w:bCs/>
                <w:sz w:val="24"/>
                <w:szCs w:val="24"/>
              </w:rPr>
              <w:t>01.12</w:t>
            </w:r>
            <w:r w:rsidR="002E2B8B" w:rsidRPr="002E2B8B">
              <w:rPr>
                <w:rFonts w:ascii="Tahoma" w:eastAsia="Times New Roman" w:hAnsi="Tahoma" w:cs="Tahoma"/>
                <w:bCs/>
                <w:sz w:val="24"/>
                <w:szCs w:val="24"/>
              </w:rPr>
              <w:t>.2026</w:t>
            </w:r>
            <w:r w:rsidR="002E2B8B" w:rsidRPr="00AE6F0E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 </w:t>
            </w:r>
            <w:r w:rsidR="00610CB2" w:rsidRPr="00BC4CD7">
              <w:rPr>
                <w:sz w:val="24"/>
                <w:szCs w:val="24"/>
              </w:rPr>
              <w:t>r.</w:t>
            </w:r>
          </w:p>
        </w:tc>
      </w:tr>
      <w:tr w:rsidR="0022799F">
        <w:trPr>
          <w:trHeight w:hRule="exact" w:val="7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b/>
                <w:bCs/>
                <w:sz w:val="24"/>
                <w:szCs w:val="24"/>
              </w:rPr>
              <w:t>Sposób wyboru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99F" w:rsidRPr="00BC4CD7" w:rsidRDefault="00610CB2">
            <w:pPr>
              <w:pStyle w:val="Inne0"/>
              <w:framePr w:w="9221" w:h="5726" w:wrap="none" w:vAnchor="page" w:hAnchor="page" w:x="1445" w:y="4399"/>
              <w:spacing w:after="0" w:line="240" w:lineRule="auto"/>
              <w:rPr>
                <w:sz w:val="24"/>
                <w:szCs w:val="24"/>
              </w:rPr>
            </w:pPr>
            <w:r w:rsidRPr="00BC4CD7">
              <w:rPr>
                <w:sz w:val="24"/>
                <w:szCs w:val="24"/>
              </w:rPr>
              <w:t>Konkurencyjny</w:t>
            </w:r>
          </w:p>
        </w:tc>
      </w:tr>
    </w:tbl>
    <w:p w:rsidR="0022799F" w:rsidRPr="00BC4CD7" w:rsidRDefault="00BC4CD7" w:rsidP="00BC4CD7">
      <w:pPr>
        <w:pStyle w:val="Teksttreci0"/>
        <w:framePr w:w="9221" w:h="274" w:hRule="exact" w:wrap="none" w:vAnchor="page" w:hAnchor="page" w:x="1445" w:y="14277"/>
        <w:spacing w:after="0" w:line="240" w:lineRule="auto"/>
        <w:rPr>
          <w:sz w:val="24"/>
          <w:szCs w:val="24"/>
        </w:rPr>
      </w:pPr>
      <w:r w:rsidRPr="00BC4CD7">
        <w:rPr>
          <w:sz w:val="24"/>
          <w:szCs w:val="24"/>
        </w:rPr>
        <w:t xml:space="preserve">Łomża, </w:t>
      </w:r>
      <w:r w:rsidR="005C6CD6">
        <w:rPr>
          <w:sz w:val="24"/>
          <w:szCs w:val="24"/>
        </w:rPr>
        <w:t>październik</w:t>
      </w:r>
      <w:r w:rsidR="002E2B8B">
        <w:rPr>
          <w:sz w:val="24"/>
          <w:szCs w:val="24"/>
        </w:rPr>
        <w:t xml:space="preserve"> 2026</w:t>
      </w:r>
      <w:r w:rsidR="00610CB2" w:rsidRPr="00BC4CD7">
        <w:rPr>
          <w:sz w:val="24"/>
          <w:szCs w:val="24"/>
        </w:rPr>
        <w:t xml:space="preserve"> r</w:t>
      </w:r>
      <w:r w:rsidR="00610CB2" w:rsidRPr="00BC4CD7">
        <w:rPr>
          <w:i/>
          <w:iCs/>
          <w:sz w:val="24"/>
          <w:szCs w:val="24"/>
        </w:rPr>
        <w:t>.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1" w:name="_GoBack"/>
      <w:bookmarkEnd w:id="1"/>
    </w:p>
    <w:p w:rsidR="0022799F" w:rsidRDefault="0022799F">
      <w:pPr>
        <w:spacing w:line="1" w:lineRule="exact"/>
      </w:pPr>
    </w:p>
    <w:p w:rsidR="0022799F" w:rsidRDefault="00610CB2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34"/>
          <w:tab w:val="right" w:leader="dot" w:pos="9326"/>
        </w:tabs>
      </w:pPr>
      <w:r>
        <w:t xml:space="preserve">Analiza wykonalności </w:t>
      </w:r>
      <w:r>
        <w:tab/>
        <w:t>3</w:t>
      </w:r>
    </w:p>
    <w:p w:rsidR="0022799F" w:rsidRDefault="004959FC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54"/>
          <w:tab w:val="right" w:leader="dot" w:pos="9326"/>
        </w:tabs>
        <w:ind w:left="280" w:hanging="280"/>
      </w:pPr>
      <w:hyperlink w:anchor="bookmark4" w:tooltip="Current Document">
        <w:r w:rsidR="00610CB2">
          <w:t xml:space="preserve">Dokumenty związane z przeprowadzeniem postępowania oceny oddziaływania na środowisko </w:t>
        </w:r>
        <w:r w:rsidR="00610CB2">
          <w:tab/>
          <w:t>3</w:t>
        </w:r>
      </w:hyperlink>
    </w:p>
    <w:p w:rsidR="0022799F" w:rsidRDefault="004959FC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49"/>
          <w:tab w:val="right" w:leader="dot" w:pos="9326"/>
        </w:tabs>
        <w:ind w:left="280" w:hanging="280"/>
      </w:pPr>
      <w:hyperlink w:anchor="bookmark7" w:tooltip="Current Document">
        <w:r w:rsidR="00610CB2">
          <w:t>Decyzje, pozwolenia, zgody</w:t>
        </w:r>
        <w:r w:rsidR="00610CB2">
          <w:tab/>
          <w:t>6</w:t>
        </w:r>
      </w:hyperlink>
    </w:p>
    <w:p w:rsidR="0022799F" w:rsidRDefault="00610CB2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54"/>
          <w:tab w:val="right" w:leader="dot" w:pos="9326"/>
        </w:tabs>
        <w:ind w:left="280" w:hanging="280"/>
      </w:pPr>
      <w:r>
        <w:t>Wyciąg z dokumentacji technicznej</w:t>
      </w:r>
      <w:r>
        <w:tab/>
        <w:t>7</w:t>
      </w:r>
    </w:p>
    <w:p w:rsidR="0022799F" w:rsidRDefault="004959FC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49"/>
          <w:tab w:val="right" w:leader="dot" w:pos="9326"/>
        </w:tabs>
        <w:ind w:left="280" w:hanging="280"/>
      </w:pPr>
      <w:hyperlink w:anchor="bookmark11" w:tooltip="Current Document">
        <w:r w:rsidR="00610CB2">
          <w:t xml:space="preserve">Kosztorys </w:t>
        </w:r>
        <w:r w:rsidR="00610CB2">
          <w:tab/>
          <w:t>8</w:t>
        </w:r>
      </w:hyperlink>
    </w:p>
    <w:p w:rsidR="0022799F" w:rsidRDefault="004959FC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54"/>
        </w:tabs>
        <w:spacing w:after="0"/>
      </w:pPr>
      <w:hyperlink w:anchor="bookmark15" w:tooltip="Current Document">
        <w:r w:rsidR="00610CB2">
          <w:t>Potwierdzenie prawa do dysponowania gruntem lub obiektami - oświadczenie o</w:t>
        </w:r>
      </w:hyperlink>
    </w:p>
    <w:p w:rsidR="0022799F" w:rsidRDefault="00610CB2">
      <w:pPr>
        <w:pStyle w:val="Spistreci0"/>
        <w:framePr w:w="9398" w:h="4613" w:hRule="exact" w:wrap="none" w:vAnchor="page" w:hAnchor="page" w:x="1356" w:y="1423"/>
        <w:tabs>
          <w:tab w:val="right" w:leader="dot" w:pos="9326"/>
        </w:tabs>
        <w:ind w:firstLine="280"/>
        <w:jc w:val="both"/>
      </w:pPr>
      <w:r>
        <w:t xml:space="preserve">prawie do dysponowania nieruchomością na cele realizacji projektu </w:t>
      </w:r>
      <w:r>
        <w:tab/>
        <w:t>10</w:t>
      </w:r>
    </w:p>
    <w:p w:rsidR="0022799F" w:rsidRDefault="00610CB2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49"/>
          <w:tab w:val="right" w:leader="dot" w:pos="9326"/>
        </w:tabs>
      </w:pPr>
      <w:r>
        <w:t>Oświadczenie o kwalifikowalności podatku VAT (jeżeli dotyczy)</w:t>
      </w:r>
      <w:r>
        <w:tab/>
        <w:t>10</w:t>
      </w:r>
    </w:p>
    <w:p w:rsidR="0022799F" w:rsidRDefault="004959FC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49"/>
          <w:tab w:val="right" w:leader="dot" w:pos="9326"/>
        </w:tabs>
      </w:pPr>
      <w:hyperlink w:anchor="bookmark20" w:tooltip="Current Document">
        <w:r w:rsidR="00610CB2">
          <w:t>Dokumenty finansowe</w:t>
        </w:r>
        <w:r w:rsidR="00610CB2">
          <w:tab/>
          <w:t>11</w:t>
        </w:r>
      </w:hyperlink>
    </w:p>
    <w:p w:rsidR="0022799F" w:rsidRDefault="004959FC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349"/>
          <w:tab w:val="right" w:leader="dot" w:pos="9326"/>
        </w:tabs>
      </w:pPr>
      <w:hyperlink w:anchor="bookmark23" w:tooltip="Current Document">
        <w:r w:rsidR="00610CB2">
          <w:t xml:space="preserve">Oświadczenia Wnioskodawcy </w:t>
        </w:r>
        <w:r w:rsidR="00610CB2">
          <w:tab/>
          <w:t xml:space="preserve"> 12</w:t>
        </w:r>
      </w:hyperlink>
    </w:p>
    <w:p w:rsidR="0022799F" w:rsidRDefault="004959FC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450"/>
          <w:tab w:val="right" w:leader="dot" w:pos="9326"/>
        </w:tabs>
      </w:pPr>
      <w:hyperlink w:anchor="bookmark26" w:tooltip="Current Document">
        <w:r w:rsidR="00610CB2">
          <w:t xml:space="preserve">Oświadczenie RODO </w:t>
        </w:r>
        <w:r w:rsidR="00610CB2">
          <w:tab/>
          <w:t>12</w:t>
        </w:r>
      </w:hyperlink>
    </w:p>
    <w:p w:rsidR="0022799F" w:rsidRDefault="004959FC">
      <w:pPr>
        <w:pStyle w:val="Spistreci0"/>
        <w:framePr w:w="9398" w:h="4613" w:hRule="exact" w:wrap="none" w:vAnchor="page" w:hAnchor="page" w:x="1356" w:y="1423"/>
        <w:numPr>
          <w:ilvl w:val="0"/>
          <w:numId w:val="1"/>
        </w:numPr>
        <w:tabs>
          <w:tab w:val="left" w:pos="450"/>
          <w:tab w:val="right" w:leader="dot" w:pos="9326"/>
        </w:tabs>
        <w:spacing w:after="0"/>
      </w:pPr>
      <w:hyperlink w:anchor="bookmark29" w:tooltip="Current Document">
        <w:r w:rsidR="00610CB2">
          <w:t>Inne (jeżeli dotyczy)</w:t>
        </w:r>
        <w:r w:rsidR="00610CB2">
          <w:tab/>
          <w:t>12</w:t>
        </w:r>
      </w:hyperlink>
    </w:p>
    <w:p w:rsidR="0022799F" w:rsidRDefault="00610CB2">
      <w:pPr>
        <w:pStyle w:val="Nagweklubstopka0"/>
        <w:framePr w:wrap="none" w:vAnchor="page" w:hAnchor="page" w:x="9132" w:y="16283"/>
      </w:pPr>
      <w:r>
        <w:t xml:space="preserve">Strona </w:t>
      </w:r>
      <w:r>
        <w:rPr>
          <w:b/>
          <w:bCs/>
        </w:rPr>
        <w:t xml:space="preserve">2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22799F" w:rsidRPr="00CA640E" w:rsidRDefault="00610CB2" w:rsidP="00CA640E">
      <w:pPr>
        <w:pStyle w:val="Teksttreci0"/>
        <w:framePr w:w="9398" w:h="13681" w:hRule="exact" w:wrap="none" w:vAnchor="page" w:hAnchor="page" w:x="1369" w:y="1597"/>
        <w:spacing w:after="200"/>
      </w:pPr>
      <w:r w:rsidRPr="00CA640E">
        <w:t>Integralną częścią wniosku o dofinansowanie realizacji projektu ze środków EFRR w ramach FEdP 2021-2027 są załączniki, które służą do uzupełniania, uwiarygodniania bądź weryfikacji danych opisywanych we wniosku o dofinansowanie.</w:t>
      </w:r>
    </w:p>
    <w:p w:rsidR="0022799F" w:rsidRPr="00CA640E" w:rsidRDefault="00610CB2" w:rsidP="00CA640E">
      <w:pPr>
        <w:pStyle w:val="Teksttreci0"/>
        <w:framePr w:w="9398" w:h="13681" w:hRule="exact" w:wrap="none" w:vAnchor="page" w:hAnchor="page" w:x="1369" w:y="1597"/>
        <w:spacing w:after="200"/>
      </w:pPr>
      <w:r w:rsidRPr="00CA640E">
        <w:t>Instytucja Organizująca Nabór (ION) zastrzega sobie prawo do wezwania Wnioskodawcy do dostarczenia innych dokumentów niewymienionych w niniejszej Instrukcji pod warunkiem, że będą one niezbędne do oceny spełniania kryteriów wyboru projektów.</w:t>
      </w:r>
    </w:p>
    <w:p w:rsidR="0022799F" w:rsidRPr="00CA640E" w:rsidRDefault="00610CB2" w:rsidP="00CA640E">
      <w:pPr>
        <w:pStyle w:val="Teksttreci0"/>
        <w:framePr w:w="9398" w:h="13681" w:hRule="exact" w:wrap="none" w:vAnchor="page" w:hAnchor="page" w:x="1369" w:y="1597"/>
        <w:spacing w:after="200"/>
      </w:pPr>
      <w:r w:rsidRPr="00CA640E">
        <w:t>Sposób przygotowania załączników, w tym sposób ich podpisania, opisano w Regulamini</w:t>
      </w:r>
      <w:r w:rsidR="00BC4CD7" w:rsidRPr="00CA640E">
        <w:t>e naboru wniosków (Regulaminie)</w:t>
      </w:r>
      <w:r w:rsidRPr="00CA640E">
        <w:t>.</w:t>
      </w:r>
    </w:p>
    <w:p w:rsidR="0022799F" w:rsidRPr="00CA640E" w:rsidRDefault="00610CB2" w:rsidP="00CA640E">
      <w:pPr>
        <w:pStyle w:val="Teksttreci0"/>
        <w:framePr w:w="9398" w:h="13681" w:hRule="exact" w:wrap="none" w:vAnchor="page" w:hAnchor="page" w:x="1369" w:y="1597"/>
        <w:spacing w:after="260"/>
      </w:pPr>
      <w:r w:rsidRPr="00CA640E">
        <w:t xml:space="preserve">Wszystkie załączniki oraz dołączone decyzje administracyjne (z wyłączeniem pozwolenia na budowę/zgłoszenia robót budowlanych, decyzji środowiskowych oraz indywidualnej interpretacji podatkowej w sprawie kwalifikowalności podatku VAT) powinny być </w:t>
      </w:r>
      <w:r w:rsidRPr="00CA640E">
        <w:rPr>
          <w:b/>
          <w:bCs/>
        </w:rPr>
        <w:t xml:space="preserve">ważne na dzień składania wniosku o dofinansowanie </w:t>
      </w:r>
      <w:r w:rsidRPr="00CA640E">
        <w:t>oraz faktycznego rozpoczęcia realizacji projektu (w szczególności dotyczy to projektów obejmujących roboty budowlane) oraz opatrzone adnotacją organu wydającego o ich ostateczności (jeżeli dotyczy). Oznacza to, że data sporządzenia dokumentu nie może być późniejsza niż złożenie wniosku o dofinansowanie. Dodatkowo, wprowadza się ograniczenia co do ważności dokumentu dla niektórych załączników - np. prawomocne pozwolenie na budowę/zgłoszenie robót budowlanych co do zasady nie może być starsze niż 3 lata, a kosztorys inwestorski może być sporządzony maksymalnie 6 miesięcy przed złożeniem wniosku o dofinansowanie projektu.</w:t>
      </w:r>
    </w:p>
    <w:p w:rsidR="0022799F" w:rsidRPr="00CA640E" w:rsidRDefault="00610CB2" w:rsidP="00CA640E">
      <w:pPr>
        <w:pStyle w:val="Teksttreci0"/>
        <w:framePr w:w="9398" w:h="13681" w:hRule="exact" w:wrap="none" w:vAnchor="page" w:hAnchor="page" w:x="1369" w:y="1597"/>
        <w:numPr>
          <w:ilvl w:val="0"/>
          <w:numId w:val="2"/>
        </w:numPr>
        <w:tabs>
          <w:tab w:val="left" w:pos="279"/>
        </w:tabs>
        <w:spacing w:after="120"/>
      </w:pPr>
      <w:bookmarkStart w:id="2" w:name="bookmark2"/>
      <w:r w:rsidRPr="00CA640E">
        <w:rPr>
          <w:b/>
          <w:bCs/>
          <w:u w:val="single"/>
        </w:rPr>
        <w:t>Analiza wykonalności</w:t>
      </w:r>
      <w:bookmarkEnd w:id="2"/>
    </w:p>
    <w:p w:rsidR="0022799F" w:rsidRPr="00CA640E" w:rsidRDefault="00610CB2" w:rsidP="002E2B8B">
      <w:pPr>
        <w:pStyle w:val="Teksttreci0"/>
        <w:framePr w:w="9398" w:h="13681" w:hRule="exact" w:wrap="none" w:vAnchor="page" w:hAnchor="page" w:x="1369" w:y="1597"/>
        <w:spacing w:after="200"/>
      </w:pPr>
      <w:bookmarkStart w:id="3" w:name="bookmark3"/>
      <w:r w:rsidRPr="00CA640E">
        <w:rPr>
          <w:b/>
          <w:bCs/>
        </w:rPr>
        <w:t>Należy przedłożyć dokument w wersji elektronicznej w formacie PDF aktywnym (wydruk do pdf), przygotowan</w:t>
      </w:r>
      <w:r w:rsidR="00BC4CD7" w:rsidRPr="00CA640E">
        <w:rPr>
          <w:b/>
          <w:bCs/>
        </w:rPr>
        <w:t xml:space="preserve">y na Wzorze </w:t>
      </w:r>
      <w:r w:rsidRPr="00CA640E">
        <w:rPr>
          <w:b/>
          <w:bCs/>
        </w:rPr>
        <w:t xml:space="preserve">Analizy wykonalności, stanowiącym załącznik </w:t>
      </w:r>
      <w:r w:rsidR="00BC4CD7" w:rsidRPr="00CA640E">
        <w:rPr>
          <w:b/>
          <w:bCs/>
        </w:rPr>
        <w:t xml:space="preserve">nr 14 </w:t>
      </w:r>
      <w:r w:rsidRPr="00CA640E">
        <w:rPr>
          <w:b/>
          <w:bCs/>
        </w:rPr>
        <w:t>do Regulaminu.</w:t>
      </w:r>
      <w:bookmarkEnd w:id="3"/>
      <w:r w:rsidR="00BC4CD7" w:rsidRPr="00CA640E">
        <w:t xml:space="preserve"> Stowarzyszenie „Sąsiedzi”  nie narzuca szablonu przedmiotowego załącznika, a jedynie przedstawia minimalny zakres informacji, który jest niezbędny z punktu widzenia oceny projektu. W związku z tym, Wnioskodawca ma możliwość zastosowania indywidualnego podejścia w zależności od potrzeb i złożoności projektu.</w:t>
      </w:r>
      <w:r w:rsidR="002E2B8B" w:rsidRPr="002E2B8B">
        <w:t xml:space="preserve"> </w:t>
      </w:r>
      <w:r w:rsidR="002E2B8B">
        <w:t>Jednakże, należy unikać nadmiernego rozbudowywania opisów i podawania informacji zbędnych dla oceny wykonalności projektu. Informacje powinny być konkretne i jednoznaczne, najlepiej poparte danymi liczbowymi.</w:t>
      </w:r>
    </w:p>
    <w:p w:rsidR="0022799F" w:rsidRPr="00CA640E" w:rsidRDefault="00610CB2" w:rsidP="00CA640E">
      <w:pPr>
        <w:pStyle w:val="Nagwek10"/>
        <w:framePr w:w="9398" w:h="13681" w:hRule="exact" w:wrap="none" w:vAnchor="page" w:hAnchor="page" w:x="1369" w:y="1597"/>
        <w:numPr>
          <w:ilvl w:val="0"/>
          <w:numId w:val="2"/>
        </w:numPr>
        <w:tabs>
          <w:tab w:val="left" w:pos="284"/>
        </w:tabs>
        <w:spacing w:after="200"/>
      </w:pPr>
      <w:bookmarkStart w:id="4" w:name="bookmark4"/>
      <w:r w:rsidRPr="00CA640E">
        <w:t>Dokumenty związane z przeprowadzeniem postępowania oceny oddziaływania na środowisko</w:t>
      </w:r>
      <w:bookmarkEnd w:id="4"/>
    </w:p>
    <w:p w:rsidR="0022799F" w:rsidRPr="00CA640E" w:rsidRDefault="00610CB2" w:rsidP="00CA640E">
      <w:pPr>
        <w:pStyle w:val="Teksttreci0"/>
        <w:framePr w:w="9398" w:h="13681" w:hRule="exact" w:wrap="none" w:vAnchor="page" w:hAnchor="page" w:x="1369" w:y="1597"/>
        <w:spacing w:after="120"/>
      </w:pPr>
      <w:r w:rsidRPr="00CA640E">
        <w:t>Załącznik pn. „Formularz w zakresie oceny oddziaływania na środowisko z uwzględnieniem zasady „nie czyń znaczącej szkody” (zasada DNSH)” jest dokumentem obowiązkowym dla wszystkich Wnioskodawców. Informacje w nim zawarte powinny odnosić się do całego zakresu rzeczowego projektu. Zakres informacji wymagany do prawidłowego sporządzenia formularza określono w udostępnionym wzorze.</w:t>
      </w:r>
    </w:p>
    <w:p w:rsidR="00CA640E" w:rsidRPr="00CA640E" w:rsidRDefault="003D1610" w:rsidP="00CA640E">
      <w:pPr>
        <w:pStyle w:val="Teksttreci0"/>
        <w:framePr w:w="9398" w:h="13681" w:hRule="exact" w:wrap="none" w:vAnchor="page" w:hAnchor="page" w:x="1369" w:y="1597"/>
        <w:spacing w:after="0"/>
      </w:pPr>
      <w:r w:rsidRPr="00CA640E">
        <w:t xml:space="preserve">W odniesieniu do przedsięwzięć mogących znacząco oddziaływać na środowisko lub mogących oddziaływać na obszar Natura 2000 należy dołączyć dokumenty potwierdzające prawidłowość przeprowadzonych procedur związanych </w:t>
      </w:r>
      <w:r w:rsidR="00CA640E" w:rsidRPr="00CA640E">
        <w:t>z ocenami oddziaływania na środowisko/obszary Natura 2000. Przy kwalifikacji projektu należy uwzględnić faktyczny zakres przedsięwzięcia.</w:t>
      </w:r>
    </w:p>
    <w:p w:rsidR="00CA640E" w:rsidRPr="00CA640E" w:rsidRDefault="00CA640E" w:rsidP="00CA640E">
      <w:pPr>
        <w:pStyle w:val="Teksttreci0"/>
        <w:framePr w:w="9398" w:h="13681" w:hRule="exact" w:wrap="none" w:vAnchor="page" w:hAnchor="page" w:x="1369" w:y="1597"/>
        <w:spacing w:after="0"/>
      </w:pPr>
      <w:r w:rsidRPr="00CA640E">
        <w:t>Wnioskodawca, stosownie do zakresu przedsięwzięcia, zobowiązany jest do przedłożenia:</w:t>
      </w:r>
    </w:p>
    <w:p w:rsidR="00CA640E" w:rsidRPr="00CA640E" w:rsidRDefault="00CA640E" w:rsidP="00CA640E">
      <w:pPr>
        <w:pStyle w:val="Teksttreci0"/>
        <w:framePr w:w="9398" w:h="13681" w:hRule="exact" w:wrap="none" w:vAnchor="page" w:hAnchor="page" w:x="1369" w:y="1597"/>
        <w:spacing w:after="0"/>
      </w:pPr>
      <w:r w:rsidRPr="00CA640E">
        <w:rPr>
          <w:b/>
        </w:rPr>
        <w:t>a)      Decyzji o środowiskowych uwarunkowaniach</w:t>
      </w:r>
      <w:r w:rsidRPr="00CA640E">
        <w:t xml:space="preserve"> </w:t>
      </w:r>
    </w:p>
    <w:p w:rsidR="0022799F" w:rsidRDefault="00610CB2">
      <w:pPr>
        <w:pStyle w:val="Nagweklubstopka0"/>
        <w:framePr w:wrap="none" w:vAnchor="page" w:hAnchor="page" w:x="9034" w:y="16283"/>
      </w:pPr>
      <w:r>
        <w:t xml:space="preserve">Strona </w:t>
      </w:r>
      <w:r>
        <w:rPr>
          <w:b/>
          <w:bCs/>
        </w:rPr>
        <w:t xml:space="preserve">3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3D1610" w:rsidRPr="00CA640E" w:rsidRDefault="00CA640E" w:rsidP="00CA640E">
      <w:pPr>
        <w:pStyle w:val="Teksttreci0"/>
        <w:framePr w:w="9398" w:h="13213" w:hRule="exact" w:wrap="none" w:vAnchor="page" w:hAnchor="page" w:x="1081" w:y="2005"/>
        <w:spacing w:after="0"/>
      </w:pPr>
      <w:r w:rsidRPr="00CA640E">
        <w:t xml:space="preserve">Dokument wymagany wyłącznie w przypadku, gdy projekt stanowi przedsięwzięcie mogące zawsze znacząco oddziaływać na środowisko lub mogące potencjalnie znacząco oddziaływać na środowisko, według kwalifikacji dokonanej w świetle rozporządzenia Rady Ministrów z dnia 10 września 2019 r. w sprawie przedsięwzięć </w:t>
      </w:r>
      <w:r w:rsidRPr="00CA640E">
        <w:rPr>
          <w:i/>
          <w:iCs/>
        </w:rPr>
        <w:t>mogących znacząco oddziaływać na środowisko</w:t>
      </w:r>
      <w:r w:rsidRPr="00CA640E">
        <w:t xml:space="preserve"> lub ewentualnie na podstawie stosownego rozporządzenia obowiązującego we wcześniejszym stanie prawnym.</w:t>
      </w:r>
      <w:r>
        <w:t xml:space="preserve"> </w:t>
      </w:r>
      <w:r w:rsidR="00610CB2" w:rsidRPr="00CA640E">
        <w:t>Decyzja winna zostać opatrzona klauzulą potwierdzającą ostateczność dokumentu w postępowaniu administracyjnym.</w:t>
      </w:r>
    </w:p>
    <w:p w:rsidR="0022799F" w:rsidRPr="00CA640E" w:rsidRDefault="003D1610" w:rsidP="00CA640E">
      <w:pPr>
        <w:pStyle w:val="Teksttreci0"/>
        <w:framePr w:w="9398" w:h="13213" w:hRule="exact" w:wrap="none" w:vAnchor="page" w:hAnchor="page" w:x="1081" w:y="2005"/>
        <w:spacing w:after="0"/>
      </w:pPr>
      <w:r w:rsidRPr="00CA640E">
        <w:rPr>
          <w:b/>
          <w:bCs/>
        </w:rPr>
        <w:t xml:space="preserve">b)    </w:t>
      </w:r>
      <w:r w:rsidR="00610CB2" w:rsidRPr="00CA640E">
        <w:rPr>
          <w:b/>
          <w:bCs/>
        </w:rPr>
        <w:t xml:space="preserve">Opinii/postanowień organów biorących udział w postępowaniu zakończonym </w:t>
      </w:r>
      <w:r w:rsidRPr="00CA640E">
        <w:rPr>
          <w:b/>
          <w:bCs/>
        </w:rPr>
        <w:t xml:space="preserve"> </w:t>
      </w:r>
      <w:r w:rsidR="00610CB2" w:rsidRPr="00CA640E">
        <w:rPr>
          <w:b/>
          <w:bCs/>
        </w:rPr>
        <w:t>wydaniem decyzji o środowiskowych uwarunkowaniach</w:t>
      </w:r>
    </w:p>
    <w:p w:rsidR="0022799F" w:rsidRPr="00CA640E" w:rsidRDefault="00610CB2" w:rsidP="00CA640E">
      <w:pPr>
        <w:pStyle w:val="Teksttreci0"/>
        <w:framePr w:w="9398" w:h="13213" w:hRule="exact" w:wrap="none" w:vAnchor="page" w:hAnchor="page" w:x="1081" w:y="2005"/>
        <w:spacing w:after="0"/>
      </w:pPr>
      <w:r w:rsidRPr="00CA640E">
        <w:t>Wymóg nie dotyczy postępowań, gdzie organem wydającym decyzję o środowiskowych uwarunkowaniach jest Regionalny Dyrektor Ochrony Środowiska. W przypadku gdy w toku postępowania administracyjnego przeprowadzono ponowną ocenę oddziaływania na środowisko lub ocenę oddziaływania na obszary Natura 2000 niezbędne jest dołączenie wszystkich opinii i uzgodnień organów.</w:t>
      </w:r>
    </w:p>
    <w:p w:rsidR="0022799F" w:rsidRPr="00CA640E" w:rsidRDefault="00610CB2" w:rsidP="00CA640E">
      <w:pPr>
        <w:pStyle w:val="Teksttreci0"/>
        <w:framePr w:w="9398" w:h="13213" w:hRule="exact" w:wrap="none" w:vAnchor="page" w:hAnchor="page" w:x="1081" w:y="2005"/>
        <w:numPr>
          <w:ilvl w:val="0"/>
          <w:numId w:val="12"/>
        </w:numPr>
        <w:tabs>
          <w:tab w:val="left" w:pos="142"/>
        </w:tabs>
        <w:spacing w:after="0"/>
        <w:ind w:left="142" w:hanging="142"/>
      </w:pPr>
      <w:r w:rsidRPr="00CA640E">
        <w:rPr>
          <w:b/>
          <w:bCs/>
        </w:rPr>
        <w:t xml:space="preserve">Raportu o oddziaływaniu przedsięwzięcia na środowisko </w:t>
      </w:r>
      <w:r w:rsidR="003D1610" w:rsidRPr="00CA640E">
        <w:t xml:space="preserve">(wraz z </w:t>
      </w:r>
      <w:r w:rsidRPr="00CA640E">
        <w:t>ewentualnymi uzupełnieniami) lub streszczenie w języku niespecjalistycznym, gdy odpowiada ono wymaganiom ustawowym.</w:t>
      </w:r>
    </w:p>
    <w:p w:rsidR="0022799F" w:rsidRPr="00CA640E" w:rsidRDefault="00610CB2" w:rsidP="00CA640E">
      <w:pPr>
        <w:pStyle w:val="Teksttreci0"/>
        <w:framePr w:w="9398" w:h="13213" w:hRule="exact" w:wrap="none" w:vAnchor="page" w:hAnchor="page" w:x="1081" w:y="2005"/>
        <w:tabs>
          <w:tab w:val="left" w:pos="142"/>
        </w:tabs>
        <w:spacing w:after="0"/>
        <w:ind w:left="142" w:hanging="142"/>
      </w:pPr>
      <w:r w:rsidRPr="00CA640E">
        <w:t>Wymóg nie dotyczy postępowań, gdzie organem wydającym decyzję o środowiskowych uwarunkowaniach jest Regionalny Dyrektor Ochrony Środowiska. W przypadku gdy w postępowaniu z oceną oddziaływania na środowisko przeprowadzono także ocenę oddziaływania na obszary Natura 2000 (zgodnie z art. 6.3 Dyrektywy Siedliskowej) należy załączyć pełną wersję raportu lub rozdziały raportu związane z oceną wskazaną w art. 6.3 Dyrektywy Siedliskowej.</w:t>
      </w:r>
    </w:p>
    <w:p w:rsidR="0022799F" w:rsidRPr="00CA640E" w:rsidRDefault="00610CB2" w:rsidP="00CA640E">
      <w:pPr>
        <w:pStyle w:val="Teksttreci0"/>
        <w:framePr w:w="9398" w:h="13213" w:hRule="exact" w:wrap="none" w:vAnchor="page" w:hAnchor="page" w:x="1081" w:y="2005"/>
        <w:tabs>
          <w:tab w:val="left" w:pos="142"/>
        </w:tabs>
        <w:spacing w:after="0"/>
        <w:ind w:left="142" w:hanging="142"/>
      </w:pPr>
      <w:r w:rsidRPr="00CA640E">
        <w:t>Natomiast w przypadku, gdy ocena oddziaływania na obszary Natura 2000 została przeprowadzona w ramach innej decyzji administracyjnej niezbędne jest dołączenie raportu.</w:t>
      </w:r>
    </w:p>
    <w:p w:rsidR="0022799F" w:rsidRPr="00CA640E" w:rsidRDefault="00610CB2" w:rsidP="00CA640E">
      <w:pPr>
        <w:pStyle w:val="Teksttreci0"/>
        <w:framePr w:w="9398" w:h="13213" w:hRule="exact" w:wrap="none" w:vAnchor="page" w:hAnchor="page" w:x="1081" w:y="2005"/>
        <w:numPr>
          <w:ilvl w:val="0"/>
          <w:numId w:val="12"/>
        </w:numPr>
        <w:tabs>
          <w:tab w:val="left" w:pos="0"/>
        </w:tabs>
        <w:spacing w:after="0"/>
        <w:ind w:left="0" w:firstLine="0"/>
      </w:pPr>
      <w:r w:rsidRPr="00CA640E">
        <w:rPr>
          <w:b/>
          <w:bCs/>
        </w:rPr>
        <w:t xml:space="preserve">Karty informacyjnej przedsięwzięcia wraz z ewentualnymi uzupełnieniami. </w:t>
      </w:r>
      <w:r w:rsidRPr="00CA640E">
        <w:t>Wymóg nie dotyczy postępowań, gdzie organem wydającym decyzję o środowiskowych uwarunkowaniach jest Regionalny Dyrektor Ochrony Środowiska.</w:t>
      </w:r>
    </w:p>
    <w:p w:rsidR="00CA640E" w:rsidRDefault="00610CB2" w:rsidP="00CA640E">
      <w:pPr>
        <w:pStyle w:val="Teksttreci0"/>
        <w:framePr w:w="9398" w:h="13213" w:hRule="exact" w:wrap="none" w:vAnchor="page" w:hAnchor="page" w:x="1081" w:y="2005"/>
        <w:numPr>
          <w:ilvl w:val="0"/>
          <w:numId w:val="12"/>
        </w:numPr>
        <w:tabs>
          <w:tab w:val="left" w:pos="0"/>
        </w:tabs>
        <w:spacing w:after="0"/>
        <w:ind w:left="0" w:firstLine="0"/>
      </w:pPr>
      <w:r w:rsidRPr="00CA640E">
        <w:rPr>
          <w:b/>
          <w:bCs/>
        </w:rPr>
        <w:t xml:space="preserve">Obwieszczenia </w:t>
      </w:r>
      <w:r w:rsidRPr="00CA640E">
        <w:t xml:space="preserve">- dokument potwierdzający podanie do publicznej wiadomości stosownych informacji wymaganych na podstawie art. 85 ust. 3 w związku z art. 3 ust. 1 pkt 11 ustawy z dnia 3 października 2008 r. o </w:t>
      </w:r>
      <w:r w:rsidRPr="00CA640E">
        <w:rPr>
          <w:i/>
          <w:iCs/>
        </w:rPr>
        <w:t xml:space="preserve">udostępnianiu informacji o środowisku i jego ochronie, udziale społeczeństwa w ochronie środowiska </w:t>
      </w:r>
      <w:r w:rsidR="003D1610" w:rsidRPr="00CA640E">
        <w:rPr>
          <w:i/>
          <w:iCs/>
        </w:rPr>
        <w:t xml:space="preserve"> oraz</w:t>
      </w:r>
      <w:r w:rsidR="00CA640E" w:rsidRPr="00CA640E">
        <w:rPr>
          <w:i/>
        </w:rPr>
        <w:t xml:space="preserve"> o ocenach oddziaływania na środowisko</w:t>
      </w:r>
      <w:r w:rsidR="00CA640E" w:rsidRPr="00CA640E">
        <w:t xml:space="preserve"> (ustawa OOŚ), w związku z wydaniem decyzji o środowiskowych uwarunkowaniach. </w:t>
      </w:r>
    </w:p>
    <w:p w:rsidR="00CA640E" w:rsidRPr="00CA640E" w:rsidRDefault="00CA640E" w:rsidP="00CA640E">
      <w:pPr>
        <w:pStyle w:val="Teksttreci0"/>
        <w:framePr w:w="9398" w:h="13213" w:hRule="exact" w:wrap="none" w:vAnchor="page" w:hAnchor="page" w:x="1081" w:y="2005"/>
        <w:tabs>
          <w:tab w:val="left" w:pos="0"/>
        </w:tabs>
        <w:spacing w:after="0"/>
      </w:pPr>
      <w:r w:rsidRPr="00CA640E">
        <w:t xml:space="preserve">Wymóg nie dotyczy postępowań, gdzie organem wydającym decyzję o środowiskowych uwarunkowaniach jest Regionalny Dyrektor Ochrony Środowiska. </w:t>
      </w:r>
    </w:p>
    <w:p w:rsidR="00CA640E" w:rsidRPr="00CA640E" w:rsidRDefault="00CA640E" w:rsidP="00CA640E">
      <w:pPr>
        <w:pStyle w:val="Teksttreci0"/>
        <w:framePr w:w="9398" w:h="13213" w:hRule="exact" w:wrap="none" w:vAnchor="page" w:hAnchor="page" w:x="1081" w:y="2005"/>
        <w:numPr>
          <w:ilvl w:val="0"/>
          <w:numId w:val="12"/>
        </w:numPr>
        <w:tabs>
          <w:tab w:val="left" w:pos="0"/>
        </w:tabs>
        <w:spacing w:after="0"/>
        <w:ind w:left="0" w:firstLine="0"/>
      </w:pPr>
      <w:r w:rsidRPr="00CA640E">
        <w:rPr>
          <w:b/>
          <w:bCs/>
        </w:rPr>
        <w:t xml:space="preserve">Deklaracji organu odpowiedzialnego za monitorowanie obszarów Natura 2000 </w:t>
      </w:r>
    </w:p>
    <w:p w:rsidR="00CA640E" w:rsidRPr="00CA640E" w:rsidRDefault="00CA640E" w:rsidP="00CA640E">
      <w:pPr>
        <w:pStyle w:val="Teksttreci0"/>
        <w:framePr w:w="9398" w:h="13213" w:hRule="exact" w:wrap="none" w:vAnchor="page" w:hAnchor="page" w:x="1081" w:y="2005"/>
        <w:tabs>
          <w:tab w:val="left" w:pos="0"/>
        </w:tabs>
        <w:spacing w:after="0"/>
      </w:pPr>
      <w:r w:rsidRPr="00CA640E">
        <w:t>Uwzględniając rekomendacje Generalnego Dyrektora Ochrony Środowiska, ION informuje, iż Deklaracja organu odpowiedzialnego za monitorowanie obszaru Natura 2000 wraz z mapą obszarów lokalizującą projekt i obszar/y Natura 2000 nie jest wymagana dla następujących przedsięwzięć:</w:t>
      </w:r>
    </w:p>
    <w:p w:rsidR="00CA640E" w:rsidRDefault="00CA640E" w:rsidP="00CA640E">
      <w:pPr>
        <w:pStyle w:val="Teksttreci0"/>
        <w:framePr w:w="9398" w:h="13213" w:hRule="exact" w:wrap="none" w:vAnchor="page" w:hAnchor="page" w:x="1081" w:y="2005"/>
        <w:tabs>
          <w:tab w:val="left" w:pos="0"/>
        </w:tabs>
        <w:spacing w:after="0"/>
      </w:pPr>
      <w:r>
        <w:t xml:space="preserve">- projektów nieinfrastrukturalnych, </w:t>
      </w:r>
    </w:p>
    <w:p w:rsidR="00CA640E" w:rsidRDefault="00CA640E" w:rsidP="00CA640E">
      <w:pPr>
        <w:pStyle w:val="Teksttreci0"/>
        <w:framePr w:w="9398" w:h="13213" w:hRule="exact" w:wrap="none" w:vAnchor="page" w:hAnchor="page" w:x="1081" w:y="2005"/>
        <w:spacing w:after="0"/>
      </w:pPr>
      <w:r>
        <w:t>− kolektorów słonecznych, paneli fotowoltaicznych na budynkach,</w:t>
      </w:r>
    </w:p>
    <w:p w:rsidR="00CA640E" w:rsidRDefault="00CA640E" w:rsidP="00CA640E">
      <w:pPr>
        <w:pStyle w:val="Teksttreci0"/>
        <w:framePr w:w="9398" w:h="13213" w:hRule="exact" w:wrap="none" w:vAnchor="page" w:hAnchor="page" w:x="1081" w:y="2005"/>
        <w:spacing w:after="0"/>
      </w:pPr>
      <w:r>
        <w:t xml:space="preserve"> − powietrznych pompy ciepła, </w:t>
      </w:r>
    </w:p>
    <w:p w:rsidR="00CA640E" w:rsidRDefault="00CA640E" w:rsidP="00CA640E">
      <w:pPr>
        <w:pStyle w:val="Teksttreci0"/>
        <w:framePr w:w="9398" w:h="13213" w:hRule="exact" w:wrap="none" w:vAnchor="page" w:hAnchor="page" w:x="1081" w:y="2005"/>
        <w:spacing w:after="0"/>
      </w:pPr>
      <w:r>
        <w:t>− prac związanych z wymianą źródeł i systemów grzewczych w budynkach,</w:t>
      </w:r>
    </w:p>
    <w:p w:rsidR="00CA640E" w:rsidRDefault="00CA640E" w:rsidP="00CA640E">
      <w:pPr>
        <w:pStyle w:val="Teksttreci0"/>
        <w:framePr w:w="9398" w:h="13213" w:hRule="exact" w:wrap="none" w:vAnchor="page" w:hAnchor="page" w:x="1081" w:y="2005"/>
        <w:tabs>
          <w:tab w:val="left" w:pos="0"/>
        </w:tabs>
        <w:spacing w:after="0"/>
      </w:pPr>
    </w:p>
    <w:p w:rsidR="003D1610" w:rsidRPr="00CA640E" w:rsidRDefault="003D1610" w:rsidP="00CA640E">
      <w:pPr>
        <w:pStyle w:val="Teksttreci0"/>
        <w:framePr w:w="9398" w:h="13213" w:hRule="exact" w:wrap="none" w:vAnchor="page" w:hAnchor="page" w:x="1081" w:y="2005"/>
        <w:tabs>
          <w:tab w:val="left" w:pos="0"/>
        </w:tabs>
        <w:spacing w:after="0"/>
      </w:pPr>
    </w:p>
    <w:p w:rsidR="0022799F" w:rsidRDefault="00610CB2">
      <w:pPr>
        <w:pStyle w:val="Nagweklubstopka0"/>
        <w:framePr w:wrap="none" w:vAnchor="page" w:hAnchor="page" w:x="9034" w:y="16283"/>
      </w:pPr>
      <w:r>
        <w:t xml:space="preserve">Strona </w:t>
      </w:r>
      <w:r>
        <w:rPr>
          <w:b/>
          <w:bCs/>
        </w:rPr>
        <w:t xml:space="preserve">4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CA640E" w:rsidRDefault="00CA640E" w:rsidP="00CA640E">
      <w:pPr>
        <w:pStyle w:val="Teksttreci0"/>
        <w:framePr w:w="9398" w:h="14809" w:hRule="exact" w:wrap="none" w:vAnchor="page" w:hAnchor="page" w:x="1225" w:y="1309"/>
        <w:spacing w:after="0"/>
        <w:ind w:left="709" w:hanging="142"/>
      </w:pPr>
      <w:r>
        <w:t>− przedsięwzięć, dla których przeprowadzono ocenę oddziaływania na obszar NATURA 2000 w ramach decyzji środowiskowej oraz przedsięwzięcia, dla których przeprowadzona została ocena oddziaływania na obszar NATURA 2000 w myśl art. 98 ustawy OOŚ,</w:t>
      </w:r>
    </w:p>
    <w:p w:rsidR="00CA640E" w:rsidRDefault="00CA640E" w:rsidP="00CA640E">
      <w:pPr>
        <w:pStyle w:val="Teksttreci0"/>
        <w:framePr w:w="9398" w:h="14809" w:hRule="exact" w:wrap="none" w:vAnchor="page" w:hAnchor="page" w:x="1225" w:y="1309"/>
        <w:spacing w:after="0"/>
        <w:ind w:firstLine="160"/>
      </w:pPr>
      <w:r>
        <w:t xml:space="preserve"> oraz następujących przedsięwzięć położonych poza obszarami NATURA 2000:</w:t>
      </w:r>
    </w:p>
    <w:p w:rsidR="00CA640E" w:rsidRDefault="00CA640E" w:rsidP="00CA640E">
      <w:pPr>
        <w:pStyle w:val="Teksttreci0"/>
        <w:framePr w:w="9398" w:h="14809" w:hRule="exact" w:wrap="none" w:vAnchor="page" w:hAnchor="page" w:x="1225" w:y="1309"/>
        <w:spacing w:after="0"/>
        <w:ind w:left="567"/>
      </w:pPr>
      <w:r>
        <w:t xml:space="preserve">− wszelkie prace konserwatorskie i restauratorskie prowadzone wewnątrz i na zewnątrz budynków, </w:t>
      </w:r>
    </w:p>
    <w:p w:rsidR="00CA640E" w:rsidRDefault="00CA640E" w:rsidP="00CA640E">
      <w:pPr>
        <w:pStyle w:val="Teksttreci0"/>
        <w:framePr w:w="9398" w:h="14809" w:hRule="exact" w:wrap="none" w:vAnchor="page" w:hAnchor="page" w:x="1225" w:y="1309"/>
        <w:spacing w:after="0"/>
        <w:ind w:left="567"/>
      </w:pPr>
      <w:r>
        <w:t xml:space="preserve">− przebudowa obiektów, mieszczących się w obrysie zewnętrznym ścian parteru budynku (m.in. nadbudowa, przebudowa układu wewnętrznego pomieszczeń), </w:t>
      </w:r>
    </w:p>
    <w:p w:rsidR="00CA640E" w:rsidRDefault="00CA640E" w:rsidP="00CA640E">
      <w:pPr>
        <w:pStyle w:val="Teksttreci0"/>
        <w:framePr w:w="9398" w:h="14809" w:hRule="exact" w:wrap="none" w:vAnchor="page" w:hAnchor="page" w:x="1225" w:y="1309"/>
        <w:spacing w:after="0"/>
        <w:ind w:left="567"/>
      </w:pPr>
      <w:r>
        <w:t xml:space="preserve">− energooszczędne oświetlenie ulic i dróg, </w:t>
      </w:r>
    </w:p>
    <w:p w:rsidR="00CA640E" w:rsidRDefault="00CA640E" w:rsidP="00CA640E">
      <w:pPr>
        <w:pStyle w:val="Teksttreci0"/>
        <w:framePr w:w="9398" w:h="14809" w:hRule="exact" w:wrap="none" w:vAnchor="page" w:hAnchor="page" w:x="1225" w:y="1309"/>
        <w:spacing w:after="0"/>
        <w:ind w:left="567"/>
      </w:pPr>
      <w:r>
        <w:t>− termomodernizacja budynków,</w:t>
      </w:r>
    </w:p>
    <w:p w:rsidR="00CA640E" w:rsidRDefault="00CA640E" w:rsidP="00CA640E">
      <w:pPr>
        <w:pStyle w:val="Teksttreci0"/>
        <w:framePr w:w="9398" w:h="14809" w:hRule="exact" w:wrap="none" w:vAnchor="page" w:hAnchor="page" w:x="1225" w:y="1309"/>
        <w:spacing w:after="0"/>
        <w:ind w:left="567"/>
      </w:pPr>
      <w:r>
        <w:t xml:space="preserve"> − obiekty małej architektury i zagospodarowania terenów zielonych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spacing w:after="0"/>
        <w:ind w:firstLine="160"/>
      </w:pPr>
      <w:r>
        <w:t xml:space="preserve">g) </w:t>
      </w:r>
      <w:r>
        <w:rPr>
          <w:b/>
          <w:bCs/>
        </w:rPr>
        <w:t>Informacji właściwego organu odpowiedzialnego za gospodarkę wodną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spacing w:after="0"/>
        <w:ind w:left="580"/>
      </w:pPr>
      <w:r>
        <w:t xml:space="preserve">Uwzględniając rekomendacje Wód Polskich </w:t>
      </w:r>
      <w:hyperlink r:id="rId8" w:history="1">
        <w:r>
          <w:rPr>
            <w:u w:val="single"/>
            <w:lang w:val="en-US" w:eastAsia="en-US" w:bidi="en-US"/>
          </w:rPr>
          <w:t>(</w:t>
        </w:r>
        <w:r>
          <w:rPr>
            <w:color w:val="0000FF"/>
            <w:u w:val="single"/>
            <w:lang w:val="en-US" w:eastAsia="en-US" w:bidi="en-US"/>
          </w:rPr>
          <w:t>https://www.gov.pl/web/wody-</w:t>
        </w:r>
      </w:hyperlink>
      <w:r>
        <w:rPr>
          <w:color w:val="0000FF"/>
          <w:u w:val="single"/>
          <w:lang w:val="en-US" w:eastAsia="en-US" w:bidi="en-US"/>
        </w:rPr>
        <w:t xml:space="preserve"> </w:t>
      </w:r>
      <w:hyperlink r:id="rId9" w:history="1">
        <w:r>
          <w:rPr>
            <w:color w:val="0000FF"/>
            <w:u w:val="single"/>
          </w:rPr>
          <w:t>polskie/potwierdzenie-zgodnosci-z-celami-srodowiskowymi</w:t>
        </w:r>
        <w:r>
          <w:rPr>
            <w:u w:val="single"/>
          </w:rPr>
          <w:t>)</w:t>
        </w:r>
      </w:hyperlink>
      <w:r>
        <w:t xml:space="preserve"> ION informuje, iż Informacji organu odpowiedzialnego za gospodarkę wodną </w:t>
      </w:r>
      <w:r>
        <w:rPr>
          <w:b/>
          <w:bCs/>
        </w:rPr>
        <w:t>nie wydaje się, gdy wnioskodawca zamierza realizować projekt dla zamierzeń obejmujących: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left="720" w:hanging="340"/>
      </w:pPr>
      <w:r>
        <w:t>przedsięwzięcia, które wymagają, a dotychczas nie uzyskały, decyzji o środowiskowych uwarunkowaniach wydawanych na podstawie ustawy z dnia 3 października 2008 r. o udostępnianiu informacji o środowisku i jego ochronie, udziale społeczeństwa w ochronie środowiska oraz o ocenach oddziaływania na środowisko;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left="720" w:hanging="340"/>
      </w:pPr>
      <w:r>
        <w:t>inwestycje lub działania, które wymagają, a dotychczas nie uzyskały, oceny wodnoprawnej lub pozwolenia wodnoprawnego lub złożenia zgłoszenia wodnoprawnego, o których mowa w art. 388 Prawa wodnego;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left="720" w:hanging="340"/>
      </w:pPr>
      <w:r>
        <w:t>prace studialne, czyli dotyczące opracowania dokumentacji, jeśli w ramach tych projektów nie zachodzi potrzeba prowadzenia działań fizycznych (w szczególności robót budowlanych lub innych działań polegających na przekształceniu lub zmianie sposobu wykorzystania terenu);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left="720" w:hanging="340"/>
      </w:pPr>
      <w:r>
        <w:t>inwestycje nieinfrastrukturalne (w szczególności działania zakupowe, niezwiązane z ingerencją w środowisko);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left="720" w:hanging="340"/>
      </w:pPr>
      <w:r>
        <w:t>inwestycje dotyczące systemów ERTMS, SESAR, ITS, VTMIS i systemu aplikacji telematycznych, oraz dotyczące modernizacji statków i taboru kolejowego, jeżeli proponowane projekty nie obejmują robót fizycznych, które mogą negatywnie wpłynąć na jednolite części wód;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firstLine="380"/>
      </w:pPr>
      <w:r>
        <w:t>termomodernizację budynków;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firstLine="380"/>
      </w:pPr>
      <w:r>
        <w:t>kolektory słoneczne, panele fotowoltaiczne, powietrzne pompy ciepła;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left="720" w:hanging="340"/>
      </w:pPr>
      <w:r>
        <w:t>wszelkie prace konserwatorskie i restauratorskie prowadzone wewnątrz i na zewnątrz budynków;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730"/>
        </w:tabs>
        <w:spacing w:after="0"/>
        <w:ind w:firstLine="380"/>
      </w:pPr>
      <w:r>
        <w:t>prace związane z wymianą źródeł i systemów grzewczych w budynkach;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812"/>
        </w:tabs>
        <w:spacing w:after="0"/>
        <w:ind w:left="720" w:hanging="340"/>
      </w:pPr>
      <w:r>
        <w:t>przebudowę obiektów, mieszczącą się w obrysie zewnętrznym ścian parteru budynku (m.in. nadbudowę, przebudowę układu wewnętrznego pomieszczeń itp.);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812"/>
        </w:tabs>
        <w:spacing w:after="0"/>
        <w:ind w:firstLine="380"/>
      </w:pPr>
      <w:r>
        <w:t>energooszczędne oświetlenia ulic i dróg;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812"/>
        </w:tabs>
        <w:spacing w:after="0"/>
        <w:ind w:firstLine="380"/>
      </w:pPr>
      <w:r>
        <w:t>kable teletechniczne instalowane na słupach;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812"/>
        </w:tabs>
        <w:spacing w:after="0"/>
        <w:ind w:firstLine="380"/>
      </w:pPr>
      <w:r>
        <w:t>ścieżki rowerowe;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812"/>
        </w:tabs>
        <w:spacing w:after="0"/>
        <w:ind w:firstLine="380"/>
      </w:pPr>
      <w:r>
        <w:t>montaż anten, nadajników i odbiorników na istniejących obiektach budowlanych;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812"/>
        </w:tabs>
        <w:spacing w:after="0"/>
        <w:ind w:left="720" w:hanging="340"/>
      </w:pPr>
      <w:r>
        <w:t>remontów obiektów budowlanych innych niż kategorie VIII, XXI, XXIV, XXVII, XXVIII, XXX z załącznika do ustawy z dnia 7 lipca 1994 r. - Prawo budowlane (Dz.U. z 2017 r. poz. 1332, z późn zm.);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812"/>
        </w:tabs>
        <w:spacing w:after="0"/>
        <w:ind w:firstLine="380"/>
      </w:pPr>
      <w:r>
        <w:t>zmiany sposobu użytkowania istniejących budynków;</w:t>
      </w:r>
    </w:p>
    <w:p w:rsidR="0022799F" w:rsidRDefault="00610CB2" w:rsidP="00CA640E">
      <w:pPr>
        <w:pStyle w:val="Teksttreci0"/>
        <w:framePr w:w="9398" w:h="14809" w:hRule="exact" w:wrap="none" w:vAnchor="page" w:hAnchor="page" w:x="1225" w:y="1309"/>
        <w:numPr>
          <w:ilvl w:val="0"/>
          <w:numId w:val="5"/>
        </w:numPr>
        <w:tabs>
          <w:tab w:val="left" w:pos="836"/>
        </w:tabs>
        <w:spacing w:after="0" w:line="252" w:lineRule="auto"/>
        <w:ind w:firstLine="380"/>
        <w:rPr>
          <w:sz w:val="24"/>
          <w:szCs w:val="24"/>
        </w:rPr>
      </w:pPr>
      <w:r>
        <w:t>obiekty małej architektury i zagospodarowania terenów zielonych</w:t>
      </w:r>
      <w:r>
        <w:rPr>
          <w:sz w:val="24"/>
          <w:szCs w:val="24"/>
        </w:rPr>
        <w:t>.</w:t>
      </w:r>
    </w:p>
    <w:p w:rsidR="0022799F" w:rsidRDefault="00610CB2">
      <w:pPr>
        <w:pStyle w:val="Nagweklubstopka0"/>
        <w:framePr w:wrap="none" w:vAnchor="page" w:hAnchor="page" w:x="9034" w:y="16283"/>
      </w:pPr>
      <w:r>
        <w:t xml:space="preserve">Strona </w:t>
      </w:r>
      <w:r>
        <w:rPr>
          <w:b/>
          <w:bCs/>
        </w:rPr>
        <w:t xml:space="preserve">5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22799F" w:rsidRDefault="00610CB2">
      <w:pPr>
        <w:pStyle w:val="Nagwek10"/>
        <w:framePr w:w="9230" w:h="14112" w:hRule="exact" w:wrap="none" w:vAnchor="page" w:hAnchor="page" w:x="1337" w:y="1403"/>
        <w:numPr>
          <w:ilvl w:val="0"/>
          <w:numId w:val="6"/>
        </w:numPr>
        <w:tabs>
          <w:tab w:val="left" w:pos="464"/>
        </w:tabs>
        <w:spacing w:after="240"/>
        <w:ind w:firstLine="180"/>
      </w:pPr>
      <w:bookmarkStart w:id="5" w:name="bookmark7"/>
      <w:bookmarkStart w:id="6" w:name="bookmark6"/>
      <w:r>
        <w:t>Decyzje, pozwolenia, zgody</w:t>
      </w:r>
      <w:bookmarkEnd w:id="5"/>
      <w:bookmarkEnd w:id="6"/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120"/>
        <w:ind w:left="180"/>
      </w:pPr>
      <w:r>
        <w:rPr>
          <w:b/>
          <w:bCs/>
        </w:rPr>
        <w:t>W przypadku realizacji projektów infrastrukturalnych</w:t>
      </w:r>
      <w:r>
        <w:t xml:space="preserve">, pozwolenie na budowę lub zgłoszenie budowy lub wykonywania innych robót budowlanych </w:t>
      </w:r>
      <w:r>
        <w:rPr>
          <w:b/>
          <w:bCs/>
        </w:rPr>
        <w:t>są dokumentami zalecanymi</w:t>
      </w:r>
      <w:r>
        <w:t>, ale nie bezwzględnie wymaganymi na etapie składania wniosku o dofinansowanie. Jednakże, przed podpisaniem Umowy o dofinansowanie Wnioskodawca jest zobowiązany przedłożyć kopię ostatecznej decyzji zezwalającej na rozpoczęcie realizacji inwestycji.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120"/>
        <w:ind w:left="180"/>
      </w:pPr>
      <w:r>
        <w:t xml:space="preserve">Zgłoszenie budowy lub wykonywania innych robót budowlanych należy dostarczyć w przypadku, gdy zamierzenie inwestycyjne zgodnie z art. 29 </w:t>
      </w:r>
      <w:r>
        <w:rPr>
          <w:i/>
          <w:iCs/>
        </w:rPr>
        <w:t>Ustawy z dnia 7 lipca 1994 r. Prawo budowlane</w:t>
      </w:r>
      <w:r>
        <w:t xml:space="preserve"> nie wymaga uzyskania pozwolenia na budowę, lecz wymaga takiego zgłoszenia.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120"/>
        <w:ind w:left="180"/>
      </w:pPr>
      <w:r>
        <w:t xml:space="preserve">Jeśli realizacja inwestycji wymaga uzyskania innych zezwoleń, np. pozwolenie wodno- prawne w świetle przepisów określonych w </w:t>
      </w:r>
      <w:r>
        <w:rPr>
          <w:i/>
          <w:iCs/>
        </w:rPr>
        <w:t xml:space="preserve">Ustawie z dnia 20 lipca 2017r. Prawo wodne, </w:t>
      </w:r>
      <w:r>
        <w:t xml:space="preserve">należy je również dostarczyć, najpóźniej przed podpisaniem Umowy o dofinansowanie. W odniesieniu do zakresu rzeczowego, dla którego wnioskodawca </w:t>
      </w:r>
      <w:r>
        <w:rPr>
          <w:b/>
          <w:bCs/>
        </w:rPr>
        <w:t>nie posiada jeszcze pozwolenia na budowę</w:t>
      </w:r>
      <w:r>
        <w:t>, należy przedstawić dokumenty dotyczące warunków zagospodarowania przestrzennego.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120"/>
        <w:ind w:firstLine="180"/>
      </w:pPr>
      <w:r>
        <w:t>Należy przedstawić odpowiednio: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numPr>
          <w:ilvl w:val="0"/>
          <w:numId w:val="7"/>
        </w:numPr>
        <w:tabs>
          <w:tab w:val="left" w:pos="784"/>
        </w:tabs>
        <w:spacing w:after="0"/>
        <w:ind w:left="760" w:hanging="300"/>
      </w:pPr>
      <w:r>
        <w:t>wypis i wyrys z obowiązującego miejscowego planu zagospodarowania przestrzennego albo zaświadczenie gminy o przeznaczeniu nieruchomości w obowiązującym miejscowym planie zagospodarowania przestrzennego, lub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numPr>
          <w:ilvl w:val="0"/>
          <w:numId w:val="7"/>
        </w:numPr>
        <w:tabs>
          <w:tab w:val="left" w:pos="784"/>
        </w:tabs>
        <w:spacing w:after="0"/>
        <w:ind w:firstLine="460"/>
      </w:pPr>
      <w:r>
        <w:t>ostateczną decyzję o lokalizacji inwestycji celu publicznego lub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numPr>
          <w:ilvl w:val="0"/>
          <w:numId w:val="7"/>
        </w:numPr>
        <w:tabs>
          <w:tab w:val="left" w:pos="784"/>
        </w:tabs>
        <w:spacing w:after="120"/>
        <w:ind w:firstLine="460"/>
      </w:pPr>
      <w:r>
        <w:t>ostateczną decyzję o warunkach zabudowy.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0"/>
        <w:ind w:left="180"/>
      </w:pPr>
      <w:r>
        <w:t>Dokumenty dotyczące zagospodarowania przestrzennego powinny być aktualne oraz obejmować wszystkie nieruchomości, na terenie których zaplanowano realizację inwestycji, z wyjątkiem zakresu, dla którego uzyskano pozwolenie na budowę.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0"/>
        <w:ind w:left="180"/>
      </w:pPr>
      <w:r>
        <w:t>Jeżeli inwestycja nie wymaga uzyskania dokumentów dot. zagospodarowania przestrzennego, należy przedstawić stosowne wyjaśnienie wraz ze wskazaniem podstawy prawnej.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120"/>
        <w:ind w:left="180"/>
      </w:pPr>
      <w:r>
        <w:t xml:space="preserve">W sytuacji </w:t>
      </w:r>
      <w:r>
        <w:rPr>
          <w:b/>
          <w:bCs/>
        </w:rPr>
        <w:t xml:space="preserve">posiadania pozwoleń/decyzji </w:t>
      </w:r>
      <w:r>
        <w:t>należy dostarczyć „decyzję budowlaną”, czyli dokument potwierdzający uprawnienie do rozpoczęcia robót budowlanych: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numPr>
          <w:ilvl w:val="0"/>
          <w:numId w:val="7"/>
        </w:numPr>
        <w:tabs>
          <w:tab w:val="left" w:pos="795"/>
        </w:tabs>
        <w:spacing w:after="0"/>
        <w:ind w:firstLine="540"/>
      </w:pPr>
      <w:r>
        <w:t>pozwolenie na budowę lub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numPr>
          <w:ilvl w:val="0"/>
          <w:numId w:val="7"/>
        </w:numPr>
        <w:tabs>
          <w:tab w:val="left" w:pos="795"/>
        </w:tabs>
        <w:spacing w:after="0"/>
        <w:ind w:left="900" w:hanging="360"/>
      </w:pPr>
      <w:r>
        <w:t>zezwolenie na realizację inwestycji drogowej, pozwolenie na realizację inwestycji w zakresie budowli przeciwpowodziowych itd. lub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numPr>
          <w:ilvl w:val="0"/>
          <w:numId w:val="7"/>
        </w:numPr>
        <w:tabs>
          <w:tab w:val="left" w:pos="795"/>
        </w:tabs>
        <w:spacing w:after="120"/>
        <w:ind w:left="900" w:hanging="360"/>
      </w:pPr>
      <w:r>
        <w:t>zgłoszenie budowy lub wykonywania innych robót budowlanych wraz z zaświadczeniem organu administracji architektoniczno-budowlanej o braku podstaw do wniesienia sprzeciwu.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120"/>
        <w:ind w:left="180"/>
      </w:pPr>
      <w:r>
        <w:t>W takim przypadku dokumenty dot. zagospodarowania przestrzennego nie są wymagane. O tym, czy wymagane jest uzyskanie pozwolenia na budowę czy realizacja jest możliwa w oparciu o dokonane zgłoszenie budowy lub wykonywania innych robót budowlanych lub decyzji w sprawie zmiany sposobu użytkowania obiektu budowlanego lub jego części, decydują przepisy Ustawy z dnia 7 lipca 1994 r. Prawo budowlane.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spacing w:after="0"/>
        <w:ind w:firstLine="180"/>
      </w:pPr>
      <w:r>
        <w:t>Wskazane dokumenty powinny:</w:t>
      </w:r>
    </w:p>
    <w:p w:rsidR="0022799F" w:rsidRDefault="00610CB2">
      <w:pPr>
        <w:pStyle w:val="Teksttreci0"/>
        <w:framePr w:w="9230" w:h="14112" w:hRule="exact" w:wrap="none" w:vAnchor="page" w:hAnchor="page" w:x="1337" w:y="1403"/>
        <w:numPr>
          <w:ilvl w:val="0"/>
          <w:numId w:val="7"/>
        </w:numPr>
        <w:tabs>
          <w:tab w:val="left" w:pos="795"/>
        </w:tabs>
        <w:spacing w:after="0"/>
        <w:ind w:firstLine="540"/>
      </w:pPr>
      <w:r>
        <w:t>obejmować cały zakres robót budowlanych objętych projektem,</w:t>
      </w:r>
    </w:p>
    <w:p w:rsidR="0022799F" w:rsidRDefault="00610CB2">
      <w:pPr>
        <w:pStyle w:val="Nagweklubstopka0"/>
        <w:framePr w:wrap="none" w:vAnchor="page" w:hAnchor="page" w:x="9281" w:y="16283"/>
      </w:pPr>
      <w:r>
        <w:t xml:space="preserve">Strona </w:t>
      </w:r>
      <w:r>
        <w:rPr>
          <w:b/>
          <w:bCs/>
        </w:rPr>
        <w:t xml:space="preserve">6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22799F" w:rsidRDefault="00610CB2">
      <w:pPr>
        <w:pStyle w:val="Teksttreci0"/>
        <w:framePr w:w="9086" w:h="13920" w:hRule="exact" w:wrap="none" w:vAnchor="page" w:hAnchor="page" w:x="1409" w:y="1418"/>
        <w:numPr>
          <w:ilvl w:val="0"/>
          <w:numId w:val="7"/>
        </w:numPr>
        <w:tabs>
          <w:tab w:val="left" w:pos="658"/>
        </w:tabs>
        <w:spacing w:after="0"/>
        <w:ind w:left="740" w:hanging="360"/>
      </w:pPr>
      <w:r>
        <w:t>być aktualne, co oznacza, że na ich podstawie możliwe jest rozpoczęcie realizacji robót zgodnie z harmonogramem określonym we wniosku o dofinansowanie.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spacing w:after="120"/>
      </w:pPr>
      <w:r>
        <w:t>Pozwolenie na budowę nie powinno być starsze niż trzy lata, z wyjątkiem sytuacji, gdy prace budowlane zostały już rozpoczęte. W takim przypadku należy dołączyć skan pierwszej strony dziennika budowy oraz strony z pierwszym i ostatnim wpisem w dzienniku budowy, a także strony z wpisami potwierdzającymi ważność pozwolenia na budowę (jeżeli pierwszy i ostatni wpis dzieli więcej niż 3 lata).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spacing w:after="120"/>
      </w:pPr>
      <w:r>
        <w:t>Zgłoszenie budowy lub wykonywania innych robót budowlanych nie powinno być starsze niż trzy lata, chyba że prace budowlane zostały już rozpoczęte.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spacing w:after="0"/>
      </w:pPr>
      <w:r>
        <w:t>W przypadku obiektów zabytkowych należy przedstawić:</w:t>
      </w:r>
    </w:p>
    <w:p w:rsidR="00CA640E" w:rsidRDefault="00610CB2">
      <w:pPr>
        <w:pStyle w:val="Teksttreci0"/>
        <w:framePr w:w="9086" w:h="13920" w:hRule="exact" w:wrap="none" w:vAnchor="page" w:hAnchor="page" w:x="1409" w:y="1418"/>
        <w:numPr>
          <w:ilvl w:val="0"/>
          <w:numId w:val="7"/>
        </w:numPr>
        <w:tabs>
          <w:tab w:val="left" w:pos="658"/>
        </w:tabs>
        <w:spacing w:after="120"/>
        <w:ind w:left="380"/>
      </w:pPr>
      <w:r>
        <w:t>kopię wpisu obiektu do rejestru zabytków (ewidencji gminnej/ powiatowej/ wojewódzkiej, rejestru prowadzonego przez wojewódzkiego konserwatora zabytków),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numPr>
          <w:ilvl w:val="0"/>
          <w:numId w:val="7"/>
        </w:numPr>
        <w:tabs>
          <w:tab w:val="left" w:pos="658"/>
        </w:tabs>
        <w:spacing w:after="120"/>
        <w:ind w:left="380"/>
      </w:pPr>
      <w:r>
        <w:t>decyzję konserwatora zabytków zezwalającą na realizację inwestycji.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spacing w:after="120"/>
      </w:pPr>
      <w:r>
        <w:t>Jeżeli projekt przewiduje prowadzenie prac konserwatorskich, restauratorskich lub robót budowlanych dotyczących obiektu zabytkowego, jego otoczenia lub innych prac określonych w art. 36 Ustawy z dnia 23 lipca 2003 r. o ochronie zabytków i opiece nad zabytkami, który jest wpisany do rejestru zabytków prowadzonego przez wojewódzkiego konserwatora zabytków, na wykonywanie robót budowlanych wymagane jest przedstawienie decyzji - pozwolenia wojewódzkiego konserwatora zabytków. Pozwolenie wojewódzkiego konserwatora zabytków jest dokumentem zalecanym, ale nie bezwzględnie wymaganym na etapie składania wniosku o dofinansowanie. Jednakże, przed podpisaniem Umowy o dofinansowanie Wnioskodawca jest zobowiązany przedłożyć kopię decyzji zezwalającej na rozpoczęcie realizacji inwestycji.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spacing w:after="220"/>
      </w:pPr>
      <w:bookmarkStart w:id="7" w:name="bookmark9"/>
      <w:r>
        <w:t>ION zastrzega, iż może zwrócić się do Wnioskodawcy o przedłożenie dodatkowych dokumentów, które mogą okazać się niezbędne do dokonania rzetelnej oceny wykonalności technicznej projektu.</w:t>
      </w:r>
      <w:bookmarkEnd w:id="7"/>
    </w:p>
    <w:p w:rsidR="0022799F" w:rsidRDefault="00610CB2">
      <w:pPr>
        <w:pStyle w:val="Teksttreci0"/>
        <w:framePr w:w="9086" w:h="13920" w:hRule="exact" w:wrap="none" w:vAnchor="page" w:hAnchor="page" w:x="1409" w:y="1418"/>
        <w:numPr>
          <w:ilvl w:val="0"/>
          <w:numId w:val="6"/>
        </w:numPr>
        <w:tabs>
          <w:tab w:val="left" w:pos="315"/>
        </w:tabs>
        <w:spacing w:after="220"/>
      </w:pPr>
      <w:r>
        <w:rPr>
          <w:b/>
          <w:bCs/>
          <w:u w:val="single"/>
        </w:rPr>
        <w:t>Wyciąg z dokumentacji technicznej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spacing w:after="0"/>
      </w:pPr>
      <w:r>
        <w:rPr>
          <w:b/>
          <w:bCs/>
        </w:rPr>
        <w:t xml:space="preserve">Wyciąg z dokumentacji technicznej jest obligatoryjnym załącznikiem dla każdego projektu </w:t>
      </w:r>
      <w:r>
        <w:t>służącym uwiarygodnieniu projektowanych rozwiązań technicznych i technologicznych.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spacing w:after="0"/>
      </w:pPr>
      <w:r>
        <w:t>W zależności od typu projektu należy dołączyć: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numPr>
          <w:ilvl w:val="0"/>
          <w:numId w:val="8"/>
        </w:numPr>
        <w:tabs>
          <w:tab w:val="left" w:pos="318"/>
        </w:tabs>
        <w:spacing w:after="120"/>
        <w:ind w:left="460" w:hanging="460"/>
      </w:pPr>
      <w:r>
        <w:rPr>
          <w:b/>
          <w:bCs/>
        </w:rPr>
        <w:t xml:space="preserve">w przypadku konieczności uzyskania pozwolenia na budowę i/lub konieczności dokonania zgłoszenia budowy lub wykonywania innych robót budowlanych </w:t>
      </w:r>
      <w:r>
        <w:t>- kompletny projekt budowlany (dokumentacja techniczna) stanowiący podstawę do decyzji/zgłoszenia (dokument stanowiący załącznik do wniosku o wydanie pozwolenia na budowę/ załącznik do zgłoszenia).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spacing w:after="280"/>
        <w:ind w:left="460"/>
      </w:pPr>
      <w:r>
        <w:t>W przypadku, gdy wnioskodawca posiada już pozwolenie na budowę/zgłoszenie przedkłada je łącznie z projektem budowlanym (dokumentacją techniczną) opatrzonym pieczęciami odpowiedniego organu, potwierdzającymi, iż projekt stanowi załącznik do decyzji budowlanej.</w:t>
      </w:r>
    </w:p>
    <w:p w:rsidR="0022799F" w:rsidRDefault="00610CB2">
      <w:pPr>
        <w:pStyle w:val="Teksttreci0"/>
        <w:framePr w:w="9086" w:h="13920" w:hRule="exact" w:wrap="none" w:vAnchor="page" w:hAnchor="page" w:x="1409" w:y="1418"/>
        <w:numPr>
          <w:ilvl w:val="0"/>
          <w:numId w:val="8"/>
        </w:numPr>
        <w:tabs>
          <w:tab w:val="left" w:pos="315"/>
        </w:tabs>
        <w:spacing w:after="0"/>
        <w:ind w:left="460" w:hanging="460"/>
      </w:pPr>
      <w:r>
        <w:rPr>
          <w:b/>
          <w:bCs/>
        </w:rPr>
        <w:t xml:space="preserve">w przypadku zgłoszenia budowy lub wykonywania innych robót budowlanych bez projektu budowlanego, oraz w przypadku działań, w których nie będzie wymagane zgłoszenie budowy ani pozwolenie na budowę </w:t>
      </w:r>
      <w:r>
        <w:t>- dokumentacja projektowa, która</w:t>
      </w:r>
    </w:p>
    <w:p w:rsidR="0022799F" w:rsidRDefault="00610CB2">
      <w:pPr>
        <w:pStyle w:val="Nagweklubstopka0"/>
        <w:framePr w:wrap="none" w:vAnchor="page" w:hAnchor="page" w:x="9200" w:y="16283"/>
      </w:pPr>
      <w:r>
        <w:t xml:space="preserve">Strona </w:t>
      </w:r>
      <w:r>
        <w:rPr>
          <w:b/>
          <w:bCs/>
        </w:rPr>
        <w:t xml:space="preserve">7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22799F" w:rsidRDefault="00610CB2">
      <w:pPr>
        <w:pStyle w:val="Teksttreci0"/>
        <w:framePr w:w="9086" w:h="13387" w:hRule="exact" w:wrap="none" w:vAnchor="page" w:hAnchor="page" w:x="1409" w:y="1403"/>
        <w:ind w:left="460"/>
      </w:pPr>
      <w:r>
        <w:t>pozwoli na zidentyfikowanie zakresu rzeczowego przedsięwzięcia, służąca do opisu przedmiotu robót budowlanych, określająca rodzaj, zakres i sposób wykonywania robót budowlanych, termin ich rozpoczęcia oraz w zależności od potrzeb, odpowiednie szkice lub rysunki, a także pozwolenia, uzgodnienia i opinie wymagane odrębnymi przepisami. Opis powinien zawierać również informacje dot. lokalizacji i numerów nieruchomości, na których realizowany będzie projekt.</w:t>
      </w:r>
    </w:p>
    <w:p w:rsidR="0022799F" w:rsidRDefault="00610CB2">
      <w:pPr>
        <w:pStyle w:val="Teksttreci0"/>
        <w:framePr w:w="9086" w:h="13387" w:hRule="exact" w:wrap="none" w:vAnchor="page" w:hAnchor="page" w:x="1409" w:y="1403"/>
        <w:numPr>
          <w:ilvl w:val="0"/>
          <w:numId w:val="8"/>
        </w:numPr>
        <w:tabs>
          <w:tab w:val="left" w:pos="335"/>
        </w:tabs>
        <w:ind w:left="520" w:hanging="520"/>
      </w:pPr>
      <w:r>
        <w:rPr>
          <w:b/>
          <w:bCs/>
        </w:rPr>
        <w:t xml:space="preserve">w przypadku nabycia środków trwałych oraz wartości niematerialnych i prawnych (WNiP) </w:t>
      </w:r>
      <w:r>
        <w:t>- odrębny załącznik, który powinien zawierać najważniejsze informacje o przedmiocie nabycia, tj. w szczególności ilość, rodzaj, typ, główne parametry oraz plan rozmieszczenia nabywanych środków trwałych/(WNiP). Załącznik powinien być przedstawiony w aktywnym arkuszu kalkulacyjnym.</w:t>
      </w:r>
    </w:p>
    <w:p w:rsidR="0022799F" w:rsidRDefault="00610CB2">
      <w:pPr>
        <w:pStyle w:val="Teksttreci0"/>
        <w:framePr w:w="9086" w:h="13387" w:hRule="exact" w:wrap="none" w:vAnchor="page" w:hAnchor="page" w:x="1409" w:y="1403"/>
        <w:spacing w:after="220"/>
      </w:pPr>
      <w:r>
        <w:t>Należy pamiętać, że załącznik wymieniony w pkt a) powinien być przygotowany zgodnie z wymogami określonymi w Rozporządzeniu Ministra Rozwoju i Technologii z dnia 20 grudnia 2021 r. w sprawie szczegółowego zakresu i formy dokumentacji projektowej, specyfikacji technicznych wykonania i odbioru robót budowlanych oraz programu funkcjonalno- użytkowego, a w przypadku realizacji projektu na podstawie decyzji pozwolenia na budowę również z wymogami Rozporządzenia Ministra Rozwoju z dnia 11 września 2020 r. w sprawie szczegółowego zakresu i formy projektu budowlanego.</w:t>
      </w:r>
    </w:p>
    <w:p w:rsidR="0022799F" w:rsidRDefault="00610CB2">
      <w:pPr>
        <w:pStyle w:val="Teksttreci0"/>
        <w:framePr w:w="9086" w:h="13387" w:hRule="exact" w:wrap="none" w:vAnchor="page" w:hAnchor="page" w:x="1409" w:y="1403"/>
        <w:spacing w:after="220"/>
      </w:pPr>
      <w:bookmarkStart w:id="8" w:name="bookmark10"/>
      <w:r>
        <w:t xml:space="preserve">ION przypomina jednocześnie o konieczności spełnienia wymogów wynikających ze </w:t>
      </w:r>
      <w:r>
        <w:rPr>
          <w:b/>
          <w:bCs/>
        </w:rPr>
        <w:t xml:space="preserve">standardów architektonicznych stanowiących załącznik nr 2 do Wytycznych dotyczących realizacji zasad równościowych w ramach funduszy unijnych na lata 2021-2027 </w:t>
      </w:r>
      <w:hyperlink r:id="rId10" w:history="1">
        <w:r>
          <w:rPr>
            <w:u w:val="single"/>
          </w:rPr>
          <w:t>(</w:t>
        </w:r>
        <w:r>
          <w:rPr>
            <w:color w:val="0000FF"/>
            <w:u w:val="single"/>
          </w:rPr>
          <w:t>strona zawierająca wytyczne</w:t>
        </w:r>
        <w:r>
          <w:rPr>
            <w:u w:val="single"/>
          </w:rPr>
          <w:t>)</w:t>
        </w:r>
      </w:hyperlink>
      <w:r>
        <w:t>, co powinno wynikać z treści załączonej dokumentacji technicznej.</w:t>
      </w:r>
      <w:bookmarkEnd w:id="8"/>
    </w:p>
    <w:p w:rsidR="0022799F" w:rsidRDefault="00610CB2">
      <w:pPr>
        <w:pStyle w:val="Nagwek10"/>
        <w:framePr w:w="9086" w:h="13387" w:hRule="exact" w:wrap="none" w:vAnchor="page" w:hAnchor="page" w:x="1409" w:y="1403"/>
        <w:numPr>
          <w:ilvl w:val="0"/>
          <w:numId w:val="6"/>
        </w:numPr>
        <w:tabs>
          <w:tab w:val="left" w:pos="335"/>
        </w:tabs>
      </w:pPr>
      <w:bookmarkStart w:id="9" w:name="bookmark11"/>
      <w:r>
        <w:t>Kosztorys</w:t>
      </w:r>
      <w:bookmarkEnd w:id="9"/>
    </w:p>
    <w:p w:rsidR="0022799F" w:rsidRDefault="00610CB2">
      <w:pPr>
        <w:pStyle w:val="Teksttreci0"/>
        <w:framePr w:w="9086" w:h="13387" w:hRule="exact" w:wrap="none" w:vAnchor="page" w:hAnchor="page" w:x="1409" w:y="1403"/>
      </w:pPr>
      <w:r>
        <w:t>Kosztorys jest obowiązkowym załącznikiem dla każdego rodzaju inwestycji i ma na celu potwierdzenie racjonalności zaplanowanych wydatków w projekcie. Kosztorys powinien w sposób jasny, szczegółowy i aktualny prezentować wszystkie pozycje kosztowe znajdujące się w budżecie (np. nabycie środków trwałych, wartości niematerialnych i prawnych, roboty budowlane, usługi, itp.).</w:t>
      </w:r>
    </w:p>
    <w:p w:rsidR="0022799F" w:rsidRDefault="00610CB2">
      <w:pPr>
        <w:pStyle w:val="Teksttreci0"/>
        <w:framePr w:w="9086" w:h="13387" w:hRule="exact" w:wrap="none" w:vAnchor="page" w:hAnchor="page" w:x="1409" w:y="1403"/>
      </w:pPr>
      <w:r>
        <w:rPr>
          <w:u w:val="single"/>
        </w:rPr>
        <w:t>Metodologia powinna:</w:t>
      </w:r>
    </w:p>
    <w:p w:rsidR="0022799F" w:rsidRDefault="00610CB2">
      <w:pPr>
        <w:pStyle w:val="Teksttreci0"/>
        <w:framePr w:w="9086" w:h="13387" w:hRule="exact" w:wrap="none" w:vAnchor="page" w:hAnchor="page" w:x="1409" w:y="1403"/>
        <w:numPr>
          <w:ilvl w:val="0"/>
          <w:numId w:val="9"/>
        </w:numPr>
        <w:tabs>
          <w:tab w:val="left" w:pos="335"/>
        </w:tabs>
        <w:spacing w:after="0" w:line="305" w:lineRule="auto"/>
      </w:pPr>
      <w:r>
        <w:t>szczegółowo określać grupy i rodzaje wydatków,</w:t>
      </w:r>
    </w:p>
    <w:p w:rsidR="0022799F" w:rsidRDefault="00610CB2">
      <w:pPr>
        <w:pStyle w:val="Teksttreci0"/>
        <w:framePr w:w="9086" w:h="13387" w:hRule="exact" w:wrap="none" w:vAnchor="page" w:hAnchor="page" w:x="1409" w:y="1403"/>
        <w:numPr>
          <w:ilvl w:val="0"/>
          <w:numId w:val="9"/>
        </w:numPr>
        <w:tabs>
          <w:tab w:val="left" w:pos="335"/>
        </w:tabs>
        <w:spacing w:after="0" w:line="305" w:lineRule="auto"/>
      </w:pPr>
      <w:r>
        <w:t>pokazywać dokładny sposób kalkulacji poszczególnych pozycji,</w:t>
      </w:r>
    </w:p>
    <w:p w:rsidR="0022799F" w:rsidRDefault="00610CB2">
      <w:pPr>
        <w:pStyle w:val="Teksttreci0"/>
        <w:framePr w:w="9086" w:h="13387" w:hRule="exact" w:wrap="none" w:vAnchor="page" w:hAnchor="page" w:x="1409" w:y="1403"/>
        <w:numPr>
          <w:ilvl w:val="0"/>
          <w:numId w:val="9"/>
        </w:numPr>
        <w:tabs>
          <w:tab w:val="left" w:pos="335"/>
        </w:tabs>
        <w:spacing w:line="305" w:lineRule="auto"/>
      </w:pPr>
      <w:r>
        <w:t>ściśle korespondować z charakterystyką projektu opisaną we wniosku o dofinansowanie.</w:t>
      </w:r>
    </w:p>
    <w:p w:rsidR="0022799F" w:rsidRDefault="00610CB2">
      <w:pPr>
        <w:pStyle w:val="Teksttreci0"/>
        <w:framePr w:w="9086" w:h="13387" w:hRule="exact" w:wrap="none" w:vAnchor="page" w:hAnchor="page" w:x="1409" w:y="1403"/>
      </w:pPr>
      <w:r>
        <w:rPr>
          <w:b/>
          <w:bCs/>
        </w:rPr>
        <w:t>Aby usprawnić proces rozliczania projektów, zaleca się, by kategorie wydatków w budżecie projektu we wniosku o dofinansowanie były pogrupowane adekwatnie do liczby ogłaszanych postępowań przetargowych oraz postępowań w sprawie wyboru wykonawców/dostawców</w:t>
      </w:r>
      <w:r>
        <w:t>. Uszczegółowienie kategorii wydatków powinno wynikać z kosztorysu albo dodatkowego załącznika dołączonego do dokumentacji aplikacyjnej (np. w formie tabelarycznej).</w:t>
      </w:r>
    </w:p>
    <w:p w:rsidR="0022799F" w:rsidRDefault="00610CB2">
      <w:pPr>
        <w:pStyle w:val="Teksttreci0"/>
        <w:framePr w:w="9086" w:h="13387" w:hRule="exact" w:wrap="none" w:vAnchor="page" w:hAnchor="page" w:x="1409" w:y="1403"/>
        <w:spacing w:after="0"/>
      </w:pPr>
      <w:r>
        <w:t>W przypadku nabycia środków trwałych, wartości niematerialnych i prawnych i usług należy wskazać co najmniej następujące informacje:</w:t>
      </w:r>
    </w:p>
    <w:p w:rsidR="0022799F" w:rsidRDefault="00610CB2">
      <w:pPr>
        <w:pStyle w:val="Nagweklubstopka0"/>
        <w:framePr w:wrap="none" w:vAnchor="page" w:hAnchor="page" w:x="9267" w:y="16283"/>
      </w:pPr>
      <w:r>
        <w:t xml:space="preserve">Strona </w:t>
      </w:r>
      <w:r>
        <w:rPr>
          <w:b/>
          <w:bCs/>
        </w:rPr>
        <w:t xml:space="preserve">8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22799F" w:rsidRDefault="00610CB2">
      <w:pPr>
        <w:pStyle w:val="Teksttreci0"/>
        <w:framePr w:w="9077" w:h="13944" w:hRule="exact" w:wrap="none" w:vAnchor="page" w:hAnchor="page" w:x="1414" w:y="1418"/>
        <w:numPr>
          <w:ilvl w:val="0"/>
          <w:numId w:val="10"/>
        </w:numPr>
        <w:tabs>
          <w:tab w:val="left" w:pos="345"/>
        </w:tabs>
        <w:spacing w:after="0"/>
      </w:pPr>
      <w:r>
        <w:t>nazwa pozycji wraz z przypisaniem do środków trwałych/wartości niematerialnych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spacing w:after="0"/>
        <w:ind w:firstLine="380"/>
      </w:pPr>
      <w:r>
        <w:t>i prawnych/usług,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numPr>
          <w:ilvl w:val="0"/>
          <w:numId w:val="10"/>
        </w:numPr>
        <w:tabs>
          <w:tab w:val="left" w:pos="345"/>
        </w:tabs>
        <w:spacing w:after="0"/>
      </w:pPr>
      <w:r>
        <w:t>specyfikacja techniczna, w tym proponowany typ, model, parametry techniczne,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numPr>
          <w:ilvl w:val="0"/>
          <w:numId w:val="10"/>
        </w:numPr>
        <w:tabs>
          <w:tab w:val="left" w:pos="345"/>
        </w:tabs>
        <w:spacing w:after="0"/>
      </w:pPr>
      <w:r>
        <w:t>jednostka miary i ilość,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numPr>
          <w:ilvl w:val="0"/>
          <w:numId w:val="10"/>
        </w:numPr>
        <w:tabs>
          <w:tab w:val="left" w:pos="345"/>
          <w:tab w:val="left" w:pos="370"/>
        </w:tabs>
        <w:spacing w:after="0"/>
      </w:pPr>
      <w:r>
        <w:t>wartość netto,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numPr>
          <w:ilvl w:val="0"/>
          <w:numId w:val="10"/>
        </w:numPr>
        <w:tabs>
          <w:tab w:val="left" w:pos="345"/>
          <w:tab w:val="left" w:pos="370"/>
        </w:tabs>
        <w:spacing w:after="0"/>
      </w:pPr>
      <w:r>
        <w:t>podatek VAT,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numPr>
          <w:ilvl w:val="0"/>
          <w:numId w:val="10"/>
        </w:numPr>
        <w:tabs>
          <w:tab w:val="left" w:pos="345"/>
          <w:tab w:val="left" w:pos="370"/>
        </w:tabs>
        <w:spacing w:after="0"/>
      </w:pPr>
      <w:r>
        <w:t>wartość brutto,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numPr>
          <w:ilvl w:val="0"/>
          <w:numId w:val="10"/>
        </w:numPr>
        <w:tabs>
          <w:tab w:val="left" w:pos="345"/>
          <w:tab w:val="left" w:pos="370"/>
        </w:tabs>
        <w:spacing w:after="0"/>
      </w:pPr>
      <w:r>
        <w:t>metodologia oszacowania wydatków (np. w przypadku WNiP metodologia powinna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ind w:left="380"/>
      </w:pPr>
      <w:r>
        <w:t>obejmować wartość poniesionych nakładów na wytworzenie WNiP, w tym cenę jednej roboczogodziny i ilość roboczogodzin; w przypadku usług należy oszacować wartość poszczególnych etapów planowanych prac z uwzględnieniem czasu i ceny jednostkowej).</w:t>
      </w:r>
    </w:p>
    <w:p w:rsidR="0022799F" w:rsidRDefault="00610CB2">
      <w:pPr>
        <w:pStyle w:val="Teksttreci0"/>
        <w:framePr w:w="9077" w:h="13944" w:hRule="exact" w:wrap="none" w:vAnchor="page" w:hAnchor="page" w:x="1414" w:y="1418"/>
      </w:pPr>
      <w:r>
        <w:t xml:space="preserve">W przypadku, </w:t>
      </w:r>
      <w:r>
        <w:rPr>
          <w:b/>
          <w:bCs/>
        </w:rPr>
        <w:t>gdy projekt obejmuje roboty budowlane, na które wymagane jest pozwolenie na budowę</w:t>
      </w:r>
      <w:r>
        <w:t xml:space="preserve">, Wnioskodawca zobowiązany jest przedstawić kosztorys inwestorski zawierający wszystkie planowane wydatki związane z robotami budowlanymi, do którego można wykorzystać zapisy </w:t>
      </w:r>
      <w:r>
        <w:rPr>
          <w:i/>
          <w:iCs/>
        </w:rPr>
        <w:t>Rozporządzenia Ministra Rozwoju i Technologii z dnia 20 grudnia 2021 r. w sprawie określenia metod i podstaw sporządzania kosztorysu inwestorskiego, obliczania planowanych kosztów prac projektowych oraz planowanych kosztów robót budowlanych określonych w programie funkcjonalno-użytkowym.</w:t>
      </w:r>
    </w:p>
    <w:p w:rsidR="0022799F" w:rsidRDefault="00610CB2">
      <w:pPr>
        <w:pStyle w:val="Teksttreci0"/>
        <w:framePr w:w="9077" w:h="13944" w:hRule="exact" w:wrap="none" w:vAnchor="page" w:hAnchor="page" w:x="1414" w:y="1418"/>
      </w:pPr>
      <w:r>
        <w:t xml:space="preserve">Sporządzając kosztorys </w:t>
      </w:r>
      <w:r>
        <w:rPr>
          <w:b/>
          <w:bCs/>
        </w:rPr>
        <w:t>dla inwestycji prowadzonej na podstawie zgłoszenia budowy lub wykonywania innych robót budowlanych</w:t>
      </w:r>
      <w:r>
        <w:t xml:space="preserve">, z załącznika powinny wynikać wszystkie pozycje kosztowe znajdujące się w budżecie. Dopuszcza się możliwość złożenia niniejszego załącznika w formie uproszczonej (np. tabelarycznej, zestawienia), z którego jednoznacznie będą wynikać zaprezentowane koszty w sposób jasny, szczegółowy i aktualny </w:t>
      </w:r>
      <w:r>
        <w:rPr>
          <w:b/>
          <w:bCs/>
        </w:rPr>
        <w:t>uwzględniający nie tylko ilości, ale również ceny jednostkowe poszczególnych wydatków.</w:t>
      </w:r>
    </w:p>
    <w:p w:rsidR="0022799F" w:rsidRDefault="00610CB2">
      <w:pPr>
        <w:pStyle w:val="Nagwek10"/>
        <w:framePr w:w="9077" w:h="13944" w:hRule="exact" w:wrap="none" w:vAnchor="page" w:hAnchor="page" w:x="1414" w:y="1418"/>
        <w:spacing w:after="100"/>
      </w:pPr>
      <w:bookmarkStart w:id="10" w:name="bookmark13"/>
      <w:r>
        <w:rPr>
          <w:b w:val="0"/>
          <w:bCs w:val="0"/>
          <w:u w:val="none"/>
        </w:rPr>
        <w:t xml:space="preserve">Za aktualny należy uznać kosztorys </w:t>
      </w:r>
      <w:r>
        <w:rPr>
          <w:u w:val="none"/>
        </w:rPr>
        <w:t>sporządzony maksymalnie 6 miesięcy przed złożeniem wniosku o dofinansowanie.</w:t>
      </w:r>
      <w:bookmarkEnd w:id="10"/>
    </w:p>
    <w:p w:rsidR="0022799F" w:rsidRDefault="00610CB2">
      <w:pPr>
        <w:pStyle w:val="Teksttreci0"/>
        <w:framePr w:w="9077" w:h="13944" w:hRule="exact" w:wrap="none" w:vAnchor="page" w:hAnchor="page" w:x="1414" w:y="1418"/>
      </w:pPr>
      <w:r>
        <w:t xml:space="preserve">W przypadku, </w:t>
      </w:r>
      <w:r>
        <w:rPr>
          <w:b/>
          <w:bCs/>
        </w:rPr>
        <w:t>gdy prace budowlane zostały już rozpoczęte, a Wnioskodawca dokonał wyboru wykonawcy</w:t>
      </w:r>
      <w:r>
        <w:t>, za właściwe uznaje się dostarczenie kosztorysu ofertowego, który będzie potwierdzeniem faktycznych wartości zaprezentowanych w budżecie projektu.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spacing w:after="60"/>
      </w:pPr>
      <w:r>
        <w:t>Wnioskodawca zobowiązany jest do szczegółowego zaprezentowania wydatków zarówno co do zakresu rzeczowego, jak i finansowego, co będzie podlegać ocenie w ramach kryterium dotyczącego kwalifikowalności wydatków co do ich precyzyjności, identyfikowalności, racjonalności oraz niezbędności.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spacing w:after="60"/>
      </w:pPr>
      <w:r>
        <w:t>W sytuacji, gdy pozycje w kosztorysie nie są spójne z wykazanymi w budżecie projektu we wniosku o dofinansowanie, co do ich poziomu szczegółowości, Wnioskodawca zobowiązany jest do ich jednoznacznego przyporządkowania i pogrupowania (np. w formie dodatkowego zestawienia/tabeli).</w:t>
      </w:r>
    </w:p>
    <w:p w:rsidR="0022799F" w:rsidRDefault="00610CB2">
      <w:pPr>
        <w:pStyle w:val="Teksttreci0"/>
        <w:framePr w:w="9077" w:h="13944" w:hRule="exact" w:wrap="none" w:vAnchor="page" w:hAnchor="page" w:x="1414" w:y="1418"/>
        <w:spacing w:after="0"/>
      </w:pPr>
      <w:r>
        <w:t>W celu potwierdzenia racjonalności oszacowanego wydatku Wnioskodawca zobowiązany jest do potwierdzenia prawidłowości zadeklarowanych wartości, np. poprzez dostarczenie dokumentacji z przeprowadzonej analizy rynku pozyskanej w trakcie wyboru rozwiązań przyjętych w projekcie w postaci pozyskanych ofert/wycen (nie dotyczy robót budowlanych, dla których wymaga się przedłożenia kosztorysu inwestorskiego), nie starszych niż 6 miesięcy przed złożeniem wniosku o dofinansowanie.</w:t>
      </w:r>
    </w:p>
    <w:p w:rsidR="0022799F" w:rsidRDefault="00610CB2">
      <w:pPr>
        <w:pStyle w:val="Nagweklubstopka0"/>
        <w:framePr w:wrap="none" w:vAnchor="page" w:hAnchor="page" w:x="9205" w:y="16283"/>
      </w:pPr>
      <w:r>
        <w:t xml:space="preserve">Strona </w:t>
      </w:r>
      <w:r>
        <w:rPr>
          <w:b/>
          <w:bCs/>
        </w:rPr>
        <w:t xml:space="preserve">9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22799F" w:rsidRDefault="00610CB2">
      <w:pPr>
        <w:pStyle w:val="Nagwek10"/>
        <w:framePr w:w="9072" w:h="605" w:hRule="exact" w:wrap="none" w:vAnchor="page" w:hAnchor="page" w:x="1417" w:y="1403"/>
        <w:numPr>
          <w:ilvl w:val="0"/>
          <w:numId w:val="11"/>
        </w:numPr>
        <w:tabs>
          <w:tab w:val="left" w:pos="284"/>
        </w:tabs>
        <w:spacing w:after="0"/>
      </w:pPr>
      <w:bookmarkStart w:id="11" w:name="bookmark16"/>
      <w:bookmarkStart w:id="12" w:name="bookmark15"/>
      <w:r>
        <w:t>Potwierdzenie prawa do dysponowania gruntem lub obiektami - oświadczenie o prawie do dysponowania nieruchomością na cele realizacji projektu</w:t>
      </w:r>
      <w:bookmarkEnd w:id="11"/>
      <w:bookmarkEnd w:id="12"/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120"/>
      </w:pPr>
      <w:r>
        <w:t>W ramach FEdP 2021-2027 o dofinansowanie mogą ubiegać się projekty realizowane na terenie/w obiekcie, do którego Wnioskodawca posiada prawo dysponowania. W związku z powyższym należy przedłożyć Oświadczenie o posiadanym prawie do dysponowania nieruchomością na cele realizacji projektu. Z wypełnionego oświadczenia powinno wynikać na jakiej podstawie Wnioskodawca dysponuje nieruchomością. Nie ma obowiązku dołączania wypisów z ksiąg wieczystych, lecz zalecane jest wskazanie numeru księgi wieczystej, jeżeli jest prowadzona.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120"/>
      </w:pPr>
      <w:r>
        <w:t>W przypadku dysponowania nieruchomością na podstawie umowy dzierżawy, najmu, użyczenia, trwałego zarządu itp., termin obowiązywania powinien obejmować co najmniej okres realizacji projektu oraz trwałości. Należy dołączyć kopię umowy potwierdzoną za zgodność z oryginałem. W przypadku współwłasności nieruchomości, należy dołączyć pisemne oświadczenie współwłaściciela nieruchomości o wyrażeniu zgody na realizację przedmiotowego projektu.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120"/>
      </w:pPr>
      <w:r>
        <w:t>W przypadku robót budowlanych wymagających jedynie czasowego zajęcia terenu, nie będącego własnością Wnioskodawcy, należy dołączyć dokumenty potwierdzające uzyskanie zgody właścicieli gruntów na czasowe zajęcie terenu.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120"/>
      </w:pPr>
      <w:r>
        <w:t xml:space="preserve">Należy mieć na uwadze, że </w:t>
      </w:r>
      <w:r>
        <w:rPr>
          <w:i/>
          <w:iCs/>
        </w:rPr>
        <w:t>Oświadczenie o posiadanym prawie do dysponowania nieruchomością na cele realizacji projektu</w:t>
      </w:r>
      <w:r>
        <w:t xml:space="preserve"> składane jest pod odpowiedzialnością karną.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0"/>
      </w:pPr>
      <w:r>
        <w:t xml:space="preserve">Wzór </w:t>
      </w:r>
      <w:r>
        <w:rPr>
          <w:i/>
          <w:iCs/>
        </w:rPr>
        <w:t>Oświadczenia o posiadanym prawie do dysponowania nieruchomością na cele realizacji projektu</w:t>
      </w:r>
      <w:r>
        <w:t xml:space="preserve"> stanowi załącznik do </w:t>
      </w:r>
      <w:r>
        <w:rPr>
          <w:i/>
          <w:iCs/>
        </w:rPr>
        <w:t>Regulaminu naboru wniosków.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260"/>
        <w:rPr>
          <w:sz w:val="24"/>
          <w:szCs w:val="24"/>
        </w:rPr>
      </w:pPr>
      <w:r>
        <w:t>W przypadku projektu partnerskiego załącznik jest obowiązkowy dla każdego Partnera</w:t>
      </w:r>
      <w:r>
        <w:rPr>
          <w:sz w:val="24"/>
          <w:szCs w:val="24"/>
        </w:rPr>
        <w:t>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numPr>
          <w:ilvl w:val="0"/>
          <w:numId w:val="11"/>
        </w:numPr>
        <w:tabs>
          <w:tab w:val="left" w:pos="284"/>
        </w:tabs>
        <w:spacing w:after="260"/>
      </w:pPr>
      <w:bookmarkStart w:id="13" w:name="bookmark18"/>
      <w:r>
        <w:rPr>
          <w:b/>
          <w:bCs/>
          <w:u w:val="single"/>
        </w:rPr>
        <w:t>Oświadczenie o kwalifikowalności podatku VAT (jeżeli dotyczy)</w:t>
      </w:r>
      <w:bookmarkEnd w:id="13"/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260" w:line="240" w:lineRule="auto"/>
      </w:pPr>
      <w:r>
        <w:rPr>
          <w:b/>
          <w:bCs/>
        </w:rPr>
        <w:t xml:space="preserve">Jak wynika z pkt 1 podrozdziału 3.5 </w:t>
      </w:r>
      <w:r>
        <w:rPr>
          <w:b/>
          <w:bCs/>
          <w:i/>
          <w:iCs/>
        </w:rPr>
        <w:t>Wytycznych dotyczących kwalifikowalności wydatków na lata 2021-2027</w:t>
      </w:r>
      <w:r>
        <w:rPr>
          <w:b/>
          <w:bCs/>
        </w:rPr>
        <w:t>, w myśl art. 64 ust. 1 lit. c tiret i rozporządzenia ogólnego, podatek VAT w projekcie, którego łączny koszt obejmujący koszty kwalifikowalne i niekwalifikowalne jest mniejszy niż 5 mln EUR (z VAT), może być kwalifikowalny - niezależnie od tego, czy „podlega zwrotowi na mocy krajowych przepisów dotyczących VAT”, czy też nie.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260" w:line="240" w:lineRule="auto"/>
      </w:pPr>
      <w:r>
        <w:rPr>
          <w:b/>
          <w:bCs/>
        </w:rPr>
        <w:t xml:space="preserve">W związku z powyższym, </w:t>
      </w:r>
      <w:r>
        <w:rPr>
          <w:b/>
          <w:bCs/>
          <w:i/>
          <w:iCs/>
        </w:rPr>
        <w:t>Oświadczenie o kwalifikowalności podatku VAT</w:t>
      </w:r>
      <w:r>
        <w:rPr>
          <w:b/>
          <w:bCs/>
        </w:rPr>
        <w:t xml:space="preserve"> jest obligatoryjne wyłącznie w przypadku projektów, których łączny koszt obejmujący koszty kwalifikowalne i niekwalifikowalne wynosi co najmniej 5 mln EUR (z VAT).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120"/>
      </w:pPr>
      <w:r>
        <w:t>W przypadku, gdy Wnioskodawca/Partner nie ma prawnej możliwości odzyskania podatku VAT i wskazuje we wniosku o dofinansowanie projektu wydatki wraz z tym podatkiem jako kwalifikowalne, zobowiązany jest do przedłożenia stosownego oświadczenia. W sytuacji, gdy zaistnieją przesłanki umożliwiające odzyskanie tego podatku, Wnioskodawca/Partner, zobowiązuje się do zwrotu zrefundowanej w ramach projektu części poniesionego podatku VAT.</w:t>
      </w:r>
    </w:p>
    <w:p w:rsidR="0022799F" w:rsidRDefault="00610CB2">
      <w:pPr>
        <w:pStyle w:val="Teksttreci0"/>
        <w:framePr w:w="9072" w:h="13022" w:hRule="exact" w:wrap="none" w:vAnchor="page" w:hAnchor="page" w:x="1417" w:y="2277"/>
        <w:spacing w:after="0"/>
      </w:pPr>
      <w:r>
        <w:t>Podatek VAT należy kwalifikować jedynie w przypadkach, które nie budzą najmniejszych wątpliwości prawnych i w których nie istnieje żadna potencjalna możliwość odzyskania tego podatku, bez względu na możliwy prawnie model realizacji projektu.</w:t>
      </w:r>
    </w:p>
    <w:p w:rsidR="0022799F" w:rsidRDefault="00610CB2">
      <w:pPr>
        <w:pStyle w:val="Nagweklubstopka0"/>
        <w:framePr w:wrap="none" w:vAnchor="page" w:hAnchor="page" w:x="9197" w:y="16283"/>
      </w:pPr>
      <w:r>
        <w:t xml:space="preserve">Strona </w:t>
      </w:r>
      <w:r>
        <w:rPr>
          <w:b/>
          <w:bCs/>
        </w:rPr>
        <w:t xml:space="preserve">10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120"/>
      </w:pPr>
      <w:r>
        <w:t>Dodatkowo, w celu potwierdzenia wiarygodności przedstawionej deklaracji, zalecanym załącznikiem na etapie aplikowania jest indywidualna interpretacja Krajowej Informacji Skarbowej wydana w przedmiotowym zakresie. Jednakże w przypadku nieprzedłożenia przedmiotowej opinii do dokumentacji aplikacyjnej Wnioskodawca jest zobowiązany przedłożyć ją na moment rozliczania projektu, z zastrzeżeniem, że do momentu dostarczenia opinii, VAT nie będzie podlegał refundacji. Ewentualna ponowna kwalifikacja podatku VAT będzie możliwa po dostarczeniu stosownej opinii. W przypadku projektów hybrydowych, należy również przedłożyć indywidualną interpretację KIS w dotyczącą partnera prywatnego. W przypadku zmiany pierwotnego stanowiska zaprezentowanego w dokumentacji aplikacyjnej, IZ FEdP uwzględni stan faktyczny określony w indywidualnej interpretacji. Wprowadzona zmiana nie może prowadzić jednak do zakwalifikowania podatku VAT pierwotnie wykazanego jako niekwalifikowalny, a tym samym zwiększenia kwoty dofinansowania. Oczywiście w sytuacji, gdy opinia Izby będzie niekorzystna dla Wnioskodawcy tj., gdy podatek VAT będzie możliwy do odzyskania, Wnioskodawca zostanie wezwany do skorygowania budżetu poprzez przesunięcie wartości podatku VAT do kosztów niekwalifikowalnych.</w:t>
      </w:r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120"/>
      </w:pPr>
      <w:r>
        <w:t>Interpretacji indywidualnej nie muszą przedkładać Wnioskodawcy, którzy są zwolnieni przedmiotowo i podmiotowo z obowiązku rozliczania VAT, nie ubiegają się o rozliczanie podatku VAT w ramach kosztów kwalifikowalnych lub dostarczyli interpretację na etapie aplikowania.</w:t>
      </w:r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220"/>
      </w:pPr>
      <w:r>
        <w:t>Wzór Oświadczenia stanowi załącznik do Regulaminu naboru wniosków.</w:t>
      </w:r>
    </w:p>
    <w:p w:rsidR="0022799F" w:rsidRDefault="00610CB2">
      <w:pPr>
        <w:pStyle w:val="Nagwek10"/>
        <w:framePr w:w="9072" w:h="13555" w:hRule="exact" w:wrap="none" w:vAnchor="page" w:hAnchor="page" w:x="1417" w:y="1403"/>
        <w:numPr>
          <w:ilvl w:val="0"/>
          <w:numId w:val="11"/>
        </w:numPr>
        <w:tabs>
          <w:tab w:val="left" w:pos="284"/>
        </w:tabs>
      </w:pPr>
      <w:bookmarkStart w:id="14" w:name="bookmark20"/>
      <w:bookmarkStart w:id="15" w:name="bookmark19"/>
      <w:r>
        <w:t>Dokumenty finansowe</w:t>
      </w:r>
      <w:bookmarkEnd w:id="14"/>
      <w:bookmarkEnd w:id="15"/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60"/>
      </w:pPr>
      <w:r>
        <w:rPr>
          <w:b/>
          <w:bCs/>
        </w:rPr>
        <w:t xml:space="preserve">W przypadku podmiotów zobowiązanych ustawą z dnia 29 września 1994 r. o rachunkowości </w:t>
      </w:r>
      <w:r>
        <w:t>do sporządzania bilansu, należy dołączyć kopię bilansu oraz kopię rachunku zysków i strat za okres 2 ostatnich lat obrotowych, podpisane przez osobę, której powierzono prowadzenie ksiąg rachunkowych oraz kierownika jednostki.</w:t>
      </w:r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60"/>
      </w:pPr>
      <w:r>
        <w:rPr>
          <w:b/>
          <w:bCs/>
        </w:rPr>
        <w:t xml:space="preserve">W przypadku podmiotów niezobowiązanych ustawą o rachunkowości </w:t>
      </w:r>
      <w:r>
        <w:t>do sporządzania bilansu, należy dołączyć kopię odpowiedniego formularza podatkowego PIT (w przypadku spółek cywilnych, każdy ze wspólników musi przedłożyć deklaracje PIT osobno) lub CIT, w zależności od sposobu rozliczania się z Urzędem Skarbowym wraz potwierdzeniem wpływu do urzędu skarbowego.</w:t>
      </w:r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60"/>
      </w:pPr>
      <w:r>
        <w:rPr>
          <w:b/>
          <w:bCs/>
        </w:rPr>
        <w:t>W przypadku nowo powstałych jednostek</w:t>
      </w:r>
      <w:r>
        <w:t>, tj. nie posiadających jeszcze zamkniętego pierwszego roku obrachunkowego, należy dołączyć bilans otwarcia.</w:t>
      </w:r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60"/>
      </w:pPr>
      <w:r>
        <w:t xml:space="preserve">Dokumentem finansowym w przypadku </w:t>
      </w:r>
      <w:r>
        <w:rPr>
          <w:b/>
          <w:bCs/>
        </w:rPr>
        <w:t xml:space="preserve">jednostek samorządu terytorialnego </w:t>
      </w:r>
      <w:r>
        <w:t>jest opinia składu orzekającego Regionalnej Izby Obrachunkowej o sprawozdaniu z wykonania budżetu za rok poprzedni.</w:t>
      </w:r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180"/>
      </w:pPr>
      <w:r>
        <w:rPr>
          <w:b/>
          <w:bCs/>
        </w:rPr>
        <w:t xml:space="preserve">W przypadku, gdy dokumenty finansowe podlegają obowiązkowemu upublicznieniu, możliwe jest jedynie wskazanie odniesień do dokumentów w formie linków </w:t>
      </w:r>
      <w:r w:rsidR="00CA640E">
        <w:t xml:space="preserve">(w </w:t>
      </w:r>
      <w:r>
        <w:t>Analizie wykonalności)</w:t>
      </w:r>
      <w:r>
        <w:rPr>
          <w:b/>
          <w:bCs/>
        </w:rPr>
        <w:t>.</w:t>
      </w:r>
    </w:p>
    <w:p w:rsidR="0022799F" w:rsidRDefault="00610CB2">
      <w:pPr>
        <w:pStyle w:val="Teksttreci0"/>
        <w:framePr w:w="9072" w:h="13555" w:hRule="exact" w:wrap="none" w:vAnchor="page" w:hAnchor="page" w:x="1417" w:y="1403"/>
        <w:spacing w:after="0"/>
      </w:pPr>
      <w:r>
        <w:t>W przypadku realizacji projektu z udziałem partnerów, dokumenty finansowe, do sporządzania których zobowiązana jest dana jednostka, powinny być dołączone przez każdy z podmiotów.</w:t>
      </w:r>
    </w:p>
    <w:p w:rsidR="0022799F" w:rsidRDefault="00610CB2">
      <w:pPr>
        <w:pStyle w:val="Nagweklubstopka0"/>
        <w:framePr w:wrap="none" w:vAnchor="page" w:hAnchor="page" w:x="9197" w:y="16283"/>
      </w:pPr>
      <w:r>
        <w:t xml:space="preserve">Strona </w:t>
      </w:r>
      <w:r>
        <w:rPr>
          <w:b/>
          <w:bCs/>
        </w:rPr>
        <w:t xml:space="preserve">11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  <w:sectPr w:rsidR="0022799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2799F" w:rsidRDefault="0022799F">
      <w:pPr>
        <w:spacing w:line="1" w:lineRule="exact"/>
      </w:pPr>
    </w:p>
    <w:p w:rsidR="0022799F" w:rsidRDefault="00610CB2">
      <w:pPr>
        <w:pStyle w:val="Nagwek10"/>
        <w:framePr w:w="9072" w:h="5386" w:hRule="exact" w:wrap="none" w:vAnchor="page" w:hAnchor="page" w:x="1417" w:y="1403"/>
        <w:numPr>
          <w:ilvl w:val="0"/>
          <w:numId w:val="11"/>
        </w:numPr>
        <w:tabs>
          <w:tab w:val="left" w:pos="295"/>
        </w:tabs>
        <w:spacing w:after="120"/>
      </w:pPr>
      <w:bookmarkStart w:id="16" w:name="bookmark23"/>
      <w:bookmarkStart w:id="17" w:name="bookmark22"/>
      <w:r>
        <w:t>Oświadczenia Wnioskodawcy</w:t>
      </w:r>
      <w:bookmarkEnd w:id="16"/>
      <w:bookmarkEnd w:id="17"/>
    </w:p>
    <w:p w:rsidR="0022799F" w:rsidRDefault="00610CB2">
      <w:pPr>
        <w:pStyle w:val="Teksttreci0"/>
        <w:framePr w:w="9072" w:h="5386" w:hRule="exact" w:wrap="none" w:vAnchor="page" w:hAnchor="page" w:x="1417" w:y="1403"/>
        <w:spacing w:after="0"/>
      </w:pPr>
      <w:r>
        <w:t>Formularz „Oświadczenia Wnioskodawcy” jest dokumentem obowiązkowym dla wszystkich wnioskodawców.</w:t>
      </w:r>
    </w:p>
    <w:p w:rsidR="0022799F" w:rsidRDefault="00610CB2">
      <w:pPr>
        <w:pStyle w:val="Nagwek10"/>
        <w:framePr w:w="9072" w:h="5386" w:hRule="exact" w:wrap="none" w:vAnchor="page" w:hAnchor="page" w:x="1417" w:y="1403"/>
        <w:numPr>
          <w:ilvl w:val="0"/>
          <w:numId w:val="11"/>
        </w:numPr>
        <w:tabs>
          <w:tab w:val="left" w:pos="396"/>
        </w:tabs>
        <w:spacing w:after="200"/>
      </w:pPr>
      <w:bookmarkStart w:id="18" w:name="bookmark26"/>
      <w:bookmarkStart w:id="19" w:name="bookmark25"/>
      <w:r>
        <w:t>Oświadczenie RODO</w:t>
      </w:r>
      <w:bookmarkEnd w:id="18"/>
      <w:bookmarkEnd w:id="19"/>
    </w:p>
    <w:p w:rsidR="0022799F" w:rsidRDefault="00610CB2">
      <w:pPr>
        <w:pStyle w:val="Teksttreci0"/>
        <w:framePr w:w="9072" w:h="5386" w:hRule="exact" w:wrap="none" w:vAnchor="page" w:hAnchor="page" w:x="1417" w:y="1403"/>
        <w:spacing w:after="200" w:line="240" w:lineRule="auto"/>
      </w:pPr>
      <w:bookmarkStart w:id="20" w:name="bookmark28"/>
      <w:r>
        <w:t>Formularz „Oświadczenie o przetwarzaniu danych osobowych w celach konkurso</w:t>
      </w:r>
      <w:r w:rsidR="00CA640E">
        <w:t>wych” stanowiący załącznik nr 18</w:t>
      </w:r>
      <w:r>
        <w:t xml:space="preserve"> do Regulaminu naboru wniosków składany jest przez Wnioskodawcę.</w:t>
      </w:r>
      <w:bookmarkEnd w:id="20"/>
    </w:p>
    <w:p w:rsidR="0022799F" w:rsidRDefault="00610CB2">
      <w:pPr>
        <w:pStyle w:val="Nagwek10"/>
        <w:framePr w:w="9072" w:h="5386" w:hRule="exact" w:wrap="none" w:vAnchor="page" w:hAnchor="page" w:x="1417" w:y="1403"/>
        <w:numPr>
          <w:ilvl w:val="0"/>
          <w:numId w:val="11"/>
        </w:numPr>
        <w:tabs>
          <w:tab w:val="left" w:pos="396"/>
        </w:tabs>
        <w:spacing w:after="280"/>
      </w:pPr>
      <w:bookmarkStart w:id="21" w:name="bookmark29"/>
      <w:r>
        <w:t>Inne (jeżeli dotyczy)</w:t>
      </w:r>
      <w:bookmarkEnd w:id="21"/>
    </w:p>
    <w:p w:rsidR="0022799F" w:rsidRDefault="00610CB2">
      <w:pPr>
        <w:pStyle w:val="Teksttreci0"/>
        <w:framePr w:w="9072" w:h="5386" w:hRule="exact" w:wrap="none" w:vAnchor="page" w:hAnchor="page" w:x="1417" w:y="1403"/>
        <w:spacing w:after="280"/>
      </w:pPr>
      <w:r>
        <w:t xml:space="preserve">Wnioskodawca ma również możliwość dołączenia innych dokumentów niewymaganych niniejszą </w:t>
      </w:r>
      <w:r>
        <w:rPr>
          <w:i/>
          <w:iCs/>
        </w:rPr>
        <w:t>Instrukcją</w:t>
      </w:r>
      <w:r>
        <w:t>, które pozwolą na przedstawienie pełnej koncepcji projektu.</w:t>
      </w:r>
    </w:p>
    <w:p w:rsidR="0022799F" w:rsidRDefault="00610CB2">
      <w:pPr>
        <w:pStyle w:val="Nagweklubstopka0"/>
        <w:framePr w:wrap="none" w:vAnchor="page" w:hAnchor="page" w:x="9197" w:y="16283"/>
      </w:pPr>
      <w:r>
        <w:t xml:space="preserve">Strona </w:t>
      </w:r>
      <w:r>
        <w:rPr>
          <w:b/>
          <w:bCs/>
        </w:rPr>
        <w:t xml:space="preserve">12 </w:t>
      </w:r>
      <w:r>
        <w:t xml:space="preserve">z </w:t>
      </w:r>
      <w:r>
        <w:rPr>
          <w:b/>
          <w:bCs/>
        </w:rPr>
        <w:t>12</w:t>
      </w:r>
    </w:p>
    <w:p w:rsidR="0022799F" w:rsidRDefault="0022799F">
      <w:pPr>
        <w:spacing w:line="1" w:lineRule="exact"/>
      </w:pPr>
    </w:p>
    <w:sectPr w:rsidR="0022799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A5D" w:rsidRDefault="00610CB2">
      <w:r>
        <w:separator/>
      </w:r>
    </w:p>
  </w:endnote>
  <w:endnote w:type="continuationSeparator" w:id="0">
    <w:p w:rsidR="001C3A5D" w:rsidRDefault="006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99F" w:rsidRDefault="0022799F"/>
  </w:footnote>
  <w:footnote w:type="continuationSeparator" w:id="0">
    <w:p w:rsidR="0022799F" w:rsidRDefault="0022799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407C"/>
    <w:multiLevelType w:val="multilevel"/>
    <w:tmpl w:val="4A9A8D6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3F5B57"/>
    <w:multiLevelType w:val="multilevel"/>
    <w:tmpl w:val="CD8AE2EA"/>
    <w:lvl w:ilvl="0">
      <w:start w:val="3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EB46A2"/>
    <w:multiLevelType w:val="multilevel"/>
    <w:tmpl w:val="DB864B9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A60A0B"/>
    <w:multiLevelType w:val="multilevel"/>
    <w:tmpl w:val="EA404D0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874A9F"/>
    <w:multiLevelType w:val="multilevel"/>
    <w:tmpl w:val="1292B1D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941720"/>
    <w:multiLevelType w:val="multilevel"/>
    <w:tmpl w:val="B73E462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FF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607ECD"/>
    <w:multiLevelType w:val="multilevel"/>
    <w:tmpl w:val="C212CBC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366071"/>
    <w:multiLevelType w:val="multilevel"/>
    <w:tmpl w:val="35161A8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D9685F"/>
    <w:multiLevelType w:val="multilevel"/>
    <w:tmpl w:val="A22860E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12A4F40"/>
    <w:multiLevelType w:val="multilevel"/>
    <w:tmpl w:val="3C64516A"/>
    <w:lvl w:ilvl="0">
      <w:start w:val="6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AC267E4"/>
    <w:multiLevelType w:val="hybridMultilevel"/>
    <w:tmpl w:val="50C05624"/>
    <w:lvl w:ilvl="0" w:tplc="6F6C195C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A6C47"/>
    <w:multiLevelType w:val="multilevel"/>
    <w:tmpl w:val="40C08CD6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2"/>
  </w:num>
  <w:num w:numId="6">
    <w:abstractNumId w:val="1"/>
  </w:num>
  <w:num w:numId="7">
    <w:abstractNumId w:val="8"/>
  </w:num>
  <w:num w:numId="8">
    <w:abstractNumId w:val="11"/>
  </w:num>
  <w:num w:numId="9">
    <w:abstractNumId w:val="4"/>
  </w:num>
  <w:num w:numId="10">
    <w:abstractNumId w:val="5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99F"/>
    <w:rsid w:val="001C3A5D"/>
    <w:rsid w:val="0022799F"/>
    <w:rsid w:val="00270A83"/>
    <w:rsid w:val="002E2B8B"/>
    <w:rsid w:val="003A24E4"/>
    <w:rsid w:val="003D1610"/>
    <w:rsid w:val="004959FC"/>
    <w:rsid w:val="005C6CD6"/>
    <w:rsid w:val="00610CB2"/>
    <w:rsid w:val="00BC4CD7"/>
    <w:rsid w:val="00CA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8CF42D-C0E3-4E5B-81B8-79519235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single"/>
    </w:rPr>
  </w:style>
  <w:style w:type="character" w:customStyle="1" w:styleId="Inne">
    <w:name w:val="Inne_"/>
    <w:basedOn w:val="Domylnaczcionkaakapitu"/>
    <w:link w:val="Inne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Spistreci">
    <w:name w:val="Spis treści_"/>
    <w:basedOn w:val="Domylnaczcionkaakapitu"/>
    <w:link w:val="Spistreci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Teksttreci0">
    <w:name w:val="Tekst treści"/>
    <w:basedOn w:val="Normalny"/>
    <w:link w:val="Teksttreci"/>
    <w:pPr>
      <w:spacing w:after="100" w:line="276" w:lineRule="auto"/>
    </w:pPr>
    <w:rPr>
      <w:rFonts w:ascii="Arial" w:eastAsia="Arial" w:hAnsi="Arial" w:cs="Arial"/>
      <w:sz w:val="22"/>
      <w:szCs w:val="22"/>
    </w:rPr>
  </w:style>
  <w:style w:type="paragraph" w:customStyle="1" w:styleId="Nagwek10">
    <w:name w:val="Nagłówek #1"/>
    <w:basedOn w:val="Normalny"/>
    <w:link w:val="Nagwek1"/>
    <w:pPr>
      <w:spacing w:after="220" w:line="276" w:lineRule="auto"/>
      <w:outlineLvl w:val="0"/>
    </w:pPr>
    <w:rPr>
      <w:rFonts w:ascii="Arial" w:eastAsia="Arial" w:hAnsi="Arial" w:cs="Arial"/>
      <w:b/>
      <w:bCs/>
      <w:sz w:val="22"/>
      <w:szCs w:val="22"/>
      <w:u w:val="single"/>
    </w:rPr>
  </w:style>
  <w:style w:type="paragraph" w:customStyle="1" w:styleId="Inne0">
    <w:name w:val="Inne"/>
    <w:basedOn w:val="Normalny"/>
    <w:link w:val="Inne"/>
    <w:pPr>
      <w:spacing w:after="100" w:line="276" w:lineRule="auto"/>
    </w:pPr>
    <w:rPr>
      <w:rFonts w:ascii="Arial" w:eastAsia="Arial" w:hAnsi="Arial" w:cs="Arial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Spistreci0">
    <w:name w:val="Spis treści"/>
    <w:basedOn w:val="Normalny"/>
    <w:link w:val="Spistreci"/>
    <w:pPr>
      <w:spacing w:after="80"/>
    </w:pPr>
    <w:rPr>
      <w:rFonts w:ascii="Arial" w:eastAsia="Arial" w:hAnsi="Arial" w:cs="Arial"/>
    </w:rPr>
  </w:style>
  <w:style w:type="paragraph" w:customStyle="1" w:styleId="Nagweklubstopka0">
    <w:name w:val="Nagłówek lub stopka"/>
    <w:basedOn w:val="Normalny"/>
    <w:link w:val="Nagweklubstopka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wody-polskie/potwierdzenie-zgodnosci-z-celami-srodowiskowym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funduszeeuropejskie.gov.pl/strony/o-funduszach/fundusze-na-lata-2021-2027/prawo-i-dokumenty/wytyczne/wytyczne-dotyczace-realizacji-zasad-rownosciowych-w-ramach-funduszy-unijnych-na-lata-2021-202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wody-polskie/potwierdzenie-zgodnosci-z-celami-srodowiskowym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12</Pages>
  <Words>4266</Words>
  <Characters>25597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Hościk Barbara</dc:creator>
  <cp:keywords/>
  <cp:lastModifiedBy>Dell</cp:lastModifiedBy>
  <cp:revision>10</cp:revision>
  <dcterms:created xsi:type="dcterms:W3CDTF">2025-10-17T11:32:00Z</dcterms:created>
  <dcterms:modified xsi:type="dcterms:W3CDTF">2026-10-19T11:22:00Z</dcterms:modified>
</cp:coreProperties>
</file>