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CAFC3" w14:textId="35BC2D3F" w:rsidR="00451000" w:rsidRPr="00B75A3E" w:rsidRDefault="00160ABF" w:rsidP="00451000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13</w:t>
      </w:r>
      <w:r w:rsidR="00451000" w:rsidRPr="00B75A3E">
        <w:rPr>
          <w:rFonts w:ascii="Calibri" w:hAnsi="Calibri" w:cs="Calibri"/>
          <w:sz w:val="22"/>
          <w:szCs w:val="22"/>
        </w:rPr>
        <w:t xml:space="preserve"> do regulaminu naboru</w:t>
      </w:r>
    </w:p>
    <w:p w14:paraId="07A7172E" w14:textId="77777777" w:rsidR="00451000" w:rsidRPr="00B75A3E" w:rsidRDefault="00451000" w:rsidP="00451000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D1C3793" w14:textId="7EE9EF65" w:rsidR="00160ABF" w:rsidRPr="00160ABF" w:rsidRDefault="00451000" w:rsidP="00160ABF">
      <w:pPr>
        <w:rPr>
          <w:rFonts w:ascii="Tahoma" w:hAnsi="Tahoma" w:cs="Tahoma"/>
          <w:b/>
          <w:u w:val="single"/>
        </w:rPr>
      </w:pPr>
      <w:r w:rsidRPr="00160ABF">
        <w:rPr>
          <w:rFonts w:ascii="Tahoma" w:hAnsi="Tahoma" w:cs="Tahoma"/>
          <w:b/>
          <w:bCs/>
          <w:u w:val="single"/>
        </w:rPr>
        <w:t xml:space="preserve">Metodologia obliczania korekty finansowej </w:t>
      </w:r>
      <w:r w:rsidRPr="00160ABF">
        <w:rPr>
          <w:rFonts w:ascii="Tahoma" w:hAnsi="Tahoma" w:cs="Tahoma"/>
          <w:b/>
          <w:u w:val="single"/>
        </w:rPr>
        <w:t>dla Działania</w:t>
      </w:r>
      <w:r w:rsidRPr="00160ABF">
        <w:rPr>
          <w:rFonts w:ascii="Tahoma" w:hAnsi="Tahoma" w:cs="Tahoma"/>
          <w:u w:val="single"/>
        </w:rPr>
        <w:t xml:space="preserve"> </w:t>
      </w:r>
      <w:r w:rsidR="00160ABF" w:rsidRPr="00160ABF">
        <w:rPr>
          <w:rFonts w:ascii="Tahoma" w:hAnsi="Tahoma" w:cs="Tahoma"/>
          <w:b/>
          <w:u w:val="single"/>
        </w:rPr>
        <w:t>05.04 Lokalna kultura i turystyka</w:t>
      </w:r>
    </w:p>
    <w:p w14:paraId="7A6119EE" w14:textId="350B5CA2" w:rsidR="00D95D67" w:rsidRPr="00160ABF" w:rsidRDefault="00451000" w:rsidP="00160ABF">
      <w:pPr>
        <w:rPr>
          <w:rFonts w:ascii="Tahoma" w:hAnsi="Tahoma" w:cs="Tahoma"/>
          <w:sz w:val="22"/>
          <w:szCs w:val="22"/>
        </w:rPr>
      </w:pPr>
      <w:r w:rsidRPr="00160ABF">
        <w:rPr>
          <w:rFonts w:ascii="Tahoma" w:hAnsi="Tahoma" w:cs="Tahoma"/>
          <w:sz w:val="22"/>
          <w:szCs w:val="22"/>
        </w:rPr>
        <w:t>Metodologia obliczania korekty kwoty dofinansowania ma zastosowanie w przypadku niezrealizowania zakładanych wskaźników</w:t>
      </w:r>
      <w:r w:rsidRPr="00160ABF">
        <w:rPr>
          <w:rStyle w:val="Odwoanieprzypisudolnego"/>
          <w:rFonts w:ascii="Tahoma" w:hAnsi="Tahoma" w:cs="Tahoma"/>
          <w:sz w:val="22"/>
          <w:szCs w:val="22"/>
        </w:rPr>
        <w:footnoteReference w:id="1"/>
      </w:r>
      <w:r w:rsidRPr="00160ABF">
        <w:rPr>
          <w:rFonts w:ascii="Tahoma" w:hAnsi="Tahoma" w:cs="Tahoma"/>
          <w:sz w:val="22"/>
          <w:szCs w:val="22"/>
        </w:rPr>
        <w:t xml:space="preserve"> w:  </w:t>
      </w:r>
    </w:p>
    <w:p w14:paraId="2A2A7673" w14:textId="2DB21DA7" w:rsidR="00D95D67" w:rsidRPr="00160ABF" w:rsidRDefault="00451000" w:rsidP="00D95D67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160ABF">
        <w:rPr>
          <w:rFonts w:ascii="Tahoma" w:hAnsi="Tahoma" w:cs="Tahoma"/>
          <w:b/>
          <w:bCs/>
          <w:sz w:val="22"/>
          <w:szCs w:val="22"/>
        </w:rPr>
        <w:t xml:space="preserve">Priorytet </w:t>
      </w:r>
      <w:r w:rsidR="00160ABF" w:rsidRPr="00160ABF">
        <w:rPr>
          <w:rFonts w:ascii="Tahoma" w:hAnsi="Tahoma" w:cs="Tahoma"/>
          <w:b/>
          <w:sz w:val="22"/>
          <w:szCs w:val="22"/>
        </w:rPr>
        <w:t>FEPD.05 Zrównoważony rozwój terytorialny</w:t>
      </w:r>
    </w:p>
    <w:p w14:paraId="1E5D9590" w14:textId="531CDE4F" w:rsidR="00D95D67" w:rsidRPr="00160ABF" w:rsidRDefault="00451000" w:rsidP="00D95D67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160ABF">
        <w:rPr>
          <w:rFonts w:ascii="Tahoma" w:hAnsi="Tahoma" w:cs="Tahoma"/>
          <w:b/>
          <w:bCs/>
          <w:sz w:val="22"/>
          <w:szCs w:val="22"/>
        </w:rPr>
        <w:t xml:space="preserve">Działanie </w:t>
      </w:r>
      <w:r w:rsidR="00160ABF" w:rsidRPr="00160ABF">
        <w:rPr>
          <w:rFonts w:ascii="Tahoma" w:hAnsi="Tahoma" w:cs="Tahoma"/>
          <w:b/>
          <w:sz w:val="22"/>
          <w:szCs w:val="22"/>
        </w:rPr>
        <w:t>FEPD.05.04 Lokalna kultura i turystyka</w:t>
      </w:r>
    </w:p>
    <w:p w14:paraId="7B714E23" w14:textId="77777777" w:rsidR="00160ABF" w:rsidRPr="00160ABF" w:rsidRDefault="00451000" w:rsidP="00160ABF">
      <w:pPr>
        <w:spacing w:after="120"/>
        <w:rPr>
          <w:rFonts w:ascii="Tahoma" w:hAnsi="Tahoma" w:cs="Tahoma"/>
          <w:b/>
          <w:sz w:val="22"/>
          <w:szCs w:val="22"/>
        </w:rPr>
      </w:pPr>
      <w:r w:rsidRPr="00160ABF">
        <w:rPr>
          <w:rFonts w:ascii="Tahoma" w:hAnsi="Tahoma" w:cs="Tahoma"/>
          <w:b/>
          <w:bCs/>
          <w:sz w:val="22"/>
          <w:szCs w:val="22"/>
        </w:rPr>
        <w:t xml:space="preserve">Typ projektu: </w:t>
      </w:r>
      <w:r w:rsidR="00160ABF" w:rsidRPr="00160ABF">
        <w:rPr>
          <w:rFonts w:ascii="Tahoma" w:hAnsi="Tahoma" w:cs="Tahoma"/>
          <w:b/>
          <w:sz w:val="22"/>
          <w:szCs w:val="22"/>
        </w:rPr>
        <w:t>Ochrona, rozwój i promowanie dziedzictwa kulturowego i usług w dziedzinie kultury</w:t>
      </w:r>
    </w:p>
    <w:p w14:paraId="0F9E0FC7" w14:textId="4EB7C79A" w:rsidR="00D95D67" w:rsidRPr="00160ABF" w:rsidRDefault="00D95D67" w:rsidP="00D95D67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6E289381" w14:textId="77777777" w:rsidR="00D95D67" w:rsidRPr="00160ABF" w:rsidRDefault="00451000" w:rsidP="00451000">
      <w:pPr>
        <w:rPr>
          <w:rFonts w:ascii="Tahoma" w:hAnsi="Tahoma" w:cs="Tahoma"/>
          <w:sz w:val="22"/>
          <w:szCs w:val="22"/>
        </w:rPr>
      </w:pPr>
      <w:r w:rsidRPr="00160ABF">
        <w:rPr>
          <w:rFonts w:ascii="Tahoma" w:hAnsi="Tahoma" w:cs="Tahoma"/>
          <w:sz w:val="22"/>
          <w:szCs w:val="22"/>
        </w:rPr>
        <w:t xml:space="preserve">Beneficjent deklarujący w realizowanym projekcie osiągnięcie założonych wskaźników rezultatu, powinien dołożyć należytej staranności, aby wywiązać się z złożonych deklaracji. W związku z tym, że przyczyny braku osiągnięcia wskaźników nie zawsze leżą po stronie beneficjentów, kwestie korekt finansowych powinny być rozpatrywane indywidualnie uwzględniając okoliczności, na które Beneficjenci nie mają wpływu. Ostateczne decyzje w przedmiotowej sprawie wydaje Instytucja Zarządzająca </w:t>
      </w:r>
      <w:proofErr w:type="spellStart"/>
      <w:r w:rsidRPr="00160ABF">
        <w:rPr>
          <w:rFonts w:ascii="Tahoma" w:hAnsi="Tahoma" w:cs="Tahoma"/>
          <w:sz w:val="22"/>
          <w:szCs w:val="22"/>
        </w:rPr>
        <w:t>FEdP</w:t>
      </w:r>
      <w:proofErr w:type="spellEnd"/>
      <w:r w:rsidRPr="00160ABF">
        <w:rPr>
          <w:rFonts w:ascii="Tahoma" w:hAnsi="Tahoma" w:cs="Tahoma"/>
          <w:sz w:val="22"/>
          <w:szCs w:val="22"/>
        </w:rPr>
        <w:t xml:space="preserve">, która może odstąpić od naliczenia korekt finansowych w sytuacji, gdy osiągnięcie wartości docelowych wskaźników uniemożliwiły czynniki zewnętrzne, nadzwyczajne, niezależne od beneficjenta, niemożliwe do przewidzenia na etapie aplikowania.  </w:t>
      </w:r>
    </w:p>
    <w:p w14:paraId="5F1FA8C1" w14:textId="77777777" w:rsidR="00D95D67" w:rsidRPr="00160ABF" w:rsidRDefault="00451000" w:rsidP="00451000">
      <w:pPr>
        <w:rPr>
          <w:rFonts w:ascii="Tahoma" w:hAnsi="Tahoma" w:cs="Tahoma"/>
          <w:sz w:val="22"/>
          <w:szCs w:val="22"/>
        </w:rPr>
      </w:pPr>
      <w:r w:rsidRPr="00160ABF">
        <w:rPr>
          <w:rFonts w:ascii="Tahoma" w:hAnsi="Tahoma" w:cs="Tahoma"/>
          <w:sz w:val="22"/>
          <w:szCs w:val="22"/>
        </w:rPr>
        <w:t xml:space="preserve">W przypadku niezrealizowania wskaźnika rezultatu, wybranego przez Beneficjenta do monitorowania, niemającego bezpośredniego odzwierciedlenia w przyjętych kryteriach oceny merytorycznej projektu, należy zastosować korektę finansową według poniższej tabeli. </w:t>
      </w:r>
    </w:p>
    <w:p w14:paraId="174D4F79" w14:textId="0BEE9E64" w:rsidR="00D95D67" w:rsidRPr="00160ABF" w:rsidRDefault="00451000" w:rsidP="00451000">
      <w:pPr>
        <w:rPr>
          <w:rFonts w:ascii="Tahoma" w:hAnsi="Tahoma" w:cs="Tahoma"/>
          <w:b/>
          <w:bCs/>
        </w:rPr>
      </w:pPr>
      <w:r w:rsidRPr="00160ABF">
        <w:rPr>
          <w:rFonts w:ascii="Tahoma" w:hAnsi="Tahoma" w:cs="Tahoma"/>
          <w:b/>
          <w:bCs/>
        </w:rPr>
        <w:t xml:space="preserve">Tabela 1 Matryca poziomu obniżenia dofinansowania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63D14" w:rsidRPr="00B75A3E" w14:paraId="4A3F2596" w14:textId="77777777" w:rsidTr="00263D14">
        <w:tc>
          <w:tcPr>
            <w:tcW w:w="4531" w:type="dxa"/>
            <w:shd w:val="clear" w:color="auto" w:fill="E8E8E8" w:themeFill="background2"/>
          </w:tcPr>
          <w:p w14:paraId="6332FEC4" w14:textId="05E8C44A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Stopień nieosiągniętych zakładanych wskaźników projektu</w:t>
            </w:r>
          </w:p>
        </w:tc>
        <w:tc>
          <w:tcPr>
            <w:tcW w:w="4531" w:type="dxa"/>
            <w:shd w:val="clear" w:color="auto" w:fill="E8E8E8" w:themeFill="background2"/>
          </w:tcPr>
          <w:p w14:paraId="36648B42" w14:textId="0C4D8E6F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Poziom obniżenia kwoty dofinansowania</w:t>
            </w:r>
          </w:p>
        </w:tc>
      </w:tr>
      <w:tr w:rsidR="00263D14" w:rsidRPr="00B75A3E" w14:paraId="1EC694E7" w14:textId="77777777" w:rsidTr="00263D14">
        <w:tc>
          <w:tcPr>
            <w:tcW w:w="4531" w:type="dxa"/>
            <w:shd w:val="clear" w:color="auto" w:fill="E8E8E8" w:themeFill="background2"/>
          </w:tcPr>
          <w:p w14:paraId="7391D7B0" w14:textId="02A1C8D4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531" w:type="dxa"/>
            <w:shd w:val="clear" w:color="auto" w:fill="E8E8E8" w:themeFill="background2"/>
          </w:tcPr>
          <w:p w14:paraId="3D0C5FDE" w14:textId="0F406FAE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263D14" w:rsidRPr="00B75A3E" w14:paraId="6A2A68F9" w14:textId="77777777" w:rsidTr="00263D14">
        <w:tc>
          <w:tcPr>
            <w:tcW w:w="4531" w:type="dxa"/>
          </w:tcPr>
          <w:p w14:paraId="434B1FCF" w14:textId="1B1C6BE1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10,01%-25,00%</w:t>
            </w:r>
          </w:p>
        </w:tc>
        <w:tc>
          <w:tcPr>
            <w:tcW w:w="4531" w:type="dxa"/>
          </w:tcPr>
          <w:p w14:paraId="34102363" w14:textId="2247F1B3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263D14" w:rsidRPr="00B75A3E" w14:paraId="4CC143A7" w14:textId="77777777" w:rsidTr="00263D14">
        <w:tc>
          <w:tcPr>
            <w:tcW w:w="4531" w:type="dxa"/>
          </w:tcPr>
          <w:p w14:paraId="780A1AC1" w14:textId="165DE86E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Od 25,01% do 50,00%</w:t>
            </w:r>
          </w:p>
        </w:tc>
        <w:tc>
          <w:tcPr>
            <w:tcW w:w="4531" w:type="dxa"/>
          </w:tcPr>
          <w:p w14:paraId="36B15972" w14:textId="6D598599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263D14" w:rsidRPr="00B75A3E" w14:paraId="0676D740" w14:textId="77777777" w:rsidTr="00263D14">
        <w:tc>
          <w:tcPr>
            <w:tcW w:w="4531" w:type="dxa"/>
          </w:tcPr>
          <w:p w14:paraId="2D4D4452" w14:textId="2BAA8EF7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Od 50.01%-70,00%</w:t>
            </w:r>
          </w:p>
        </w:tc>
        <w:tc>
          <w:tcPr>
            <w:tcW w:w="4531" w:type="dxa"/>
          </w:tcPr>
          <w:p w14:paraId="0842D1CA" w14:textId="4837398C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</w:tr>
      <w:tr w:rsidR="00263D14" w:rsidRPr="00B75A3E" w14:paraId="1B46815C" w14:textId="77777777" w:rsidTr="00263D14">
        <w:tc>
          <w:tcPr>
            <w:tcW w:w="4531" w:type="dxa"/>
          </w:tcPr>
          <w:p w14:paraId="182C73D1" w14:textId="493B6CC0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powyżej 70,01%</w:t>
            </w:r>
          </w:p>
        </w:tc>
        <w:tc>
          <w:tcPr>
            <w:tcW w:w="4531" w:type="dxa"/>
          </w:tcPr>
          <w:p w14:paraId="7C63C9ED" w14:textId="67FD5E25" w:rsidR="00263D14" w:rsidRPr="00B75A3E" w:rsidRDefault="00263D14" w:rsidP="00263D1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75A3E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</w:tr>
    </w:tbl>
    <w:p w14:paraId="49E1EDB0" w14:textId="77777777" w:rsidR="00263D14" w:rsidRPr="00B75A3E" w:rsidRDefault="00263D14" w:rsidP="00451000">
      <w:pPr>
        <w:rPr>
          <w:rFonts w:ascii="Calibri" w:hAnsi="Calibri" w:cs="Calibri"/>
          <w:b/>
          <w:bCs/>
          <w:sz w:val="22"/>
          <w:szCs w:val="22"/>
        </w:rPr>
      </w:pPr>
    </w:p>
    <w:p w14:paraId="540F272C" w14:textId="77777777" w:rsidR="00160ABF" w:rsidRDefault="00451000" w:rsidP="00451000">
      <w:pPr>
        <w:rPr>
          <w:rFonts w:ascii="Tahoma" w:hAnsi="Tahoma" w:cs="Tahoma"/>
          <w:sz w:val="22"/>
          <w:szCs w:val="22"/>
        </w:rPr>
      </w:pPr>
      <w:r w:rsidRPr="00B75A3E">
        <w:rPr>
          <w:rFonts w:ascii="Calibri" w:hAnsi="Calibri" w:cs="Calibri"/>
          <w:sz w:val="22"/>
          <w:szCs w:val="22"/>
        </w:rPr>
        <w:t xml:space="preserve">      </w:t>
      </w:r>
      <w:r w:rsidRPr="00160ABF">
        <w:rPr>
          <w:rFonts w:ascii="Tahoma" w:hAnsi="Tahoma" w:cs="Tahoma"/>
          <w:sz w:val="22"/>
          <w:szCs w:val="22"/>
        </w:rPr>
        <w:t xml:space="preserve">W przypadku nieosiągnięcia więcej niż jednego wskaźnika rezultatu poziomy obniżenia kwoty dofinansowania sumują się. Nie dotyczy to sytuacji, kiedy nieosiągnięcie jednego wskaźnika rezultatu, które wzajemnie się warunkują. </w:t>
      </w:r>
    </w:p>
    <w:p w14:paraId="0BCF1ECD" w14:textId="658FADE5" w:rsidR="00036EDA" w:rsidRPr="00160ABF" w:rsidRDefault="00451000" w:rsidP="00451000">
      <w:pPr>
        <w:rPr>
          <w:rFonts w:ascii="Tahoma" w:hAnsi="Tahoma" w:cs="Tahoma"/>
          <w:b/>
          <w:bCs/>
          <w:sz w:val="22"/>
          <w:szCs w:val="22"/>
        </w:rPr>
      </w:pPr>
      <w:bookmarkStart w:id="0" w:name="_GoBack"/>
      <w:bookmarkEnd w:id="0"/>
      <w:r w:rsidRPr="00160ABF">
        <w:rPr>
          <w:rFonts w:ascii="Tahoma" w:hAnsi="Tahoma" w:cs="Tahoma"/>
          <w:sz w:val="22"/>
          <w:szCs w:val="22"/>
        </w:rPr>
        <w:t xml:space="preserve"> W każdym powyższym przypadku, poza nałożeniem korekty finansowej, odrębnej weryfikacji podlega projekt pod kątem czynników, które miały wpływ na nieosiągnięcie wskaźników </w:t>
      </w:r>
      <w:r w:rsidRPr="00160ABF">
        <w:rPr>
          <w:rFonts w:ascii="Tahoma" w:hAnsi="Tahoma" w:cs="Tahoma"/>
          <w:sz w:val="22"/>
          <w:szCs w:val="22"/>
        </w:rPr>
        <w:lastRenderedPageBreak/>
        <w:t xml:space="preserve">rezultatu i mogą zagrażać utrzymaniu celów projektu oraz jego założeń w okresie trwałości projektu. Szczególnie dotyczy to przypadku stopnia nieosiągnięcia wskaźnika powyżej 70%.  Korekta nakładana jest za każdy rok, w którym wskaźnik/i nie został/y osiągnięty/e.  </w:t>
      </w:r>
    </w:p>
    <w:sectPr w:rsidR="00036EDA" w:rsidRPr="00160AB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2ED14" w14:textId="77777777" w:rsidR="007930D4" w:rsidRDefault="007930D4" w:rsidP="00451000">
      <w:pPr>
        <w:spacing w:after="0" w:line="240" w:lineRule="auto"/>
      </w:pPr>
      <w:r>
        <w:separator/>
      </w:r>
    </w:p>
  </w:endnote>
  <w:endnote w:type="continuationSeparator" w:id="0">
    <w:p w14:paraId="1A00E992" w14:textId="77777777" w:rsidR="007930D4" w:rsidRDefault="007930D4" w:rsidP="0045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6E4DE" w14:textId="77777777" w:rsidR="007930D4" w:rsidRDefault="007930D4" w:rsidP="00451000">
      <w:pPr>
        <w:spacing w:after="0" w:line="240" w:lineRule="auto"/>
      </w:pPr>
      <w:r>
        <w:separator/>
      </w:r>
    </w:p>
  </w:footnote>
  <w:footnote w:type="continuationSeparator" w:id="0">
    <w:p w14:paraId="23E2B028" w14:textId="77777777" w:rsidR="007930D4" w:rsidRDefault="007930D4" w:rsidP="00451000">
      <w:pPr>
        <w:spacing w:after="0" w:line="240" w:lineRule="auto"/>
      </w:pPr>
      <w:r>
        <w:continuationSeparator/>
      </w:r>
    </w:p>
  </w:footnote>
  <w:footnote w:id="1">
    <w:p w14:paraId="452E7A1F" w14:textId="0D2ABBF6" w:rsidR="00451000" w:rsidRPr="00B75A3E" w:rsidRDefault="00451000">
      <w:pPr>
        <w:pStyle w:val="Tekstprzypisudolnego"/>
        <w:rPr>
          <w:rFonts w:ascii="Calibri" w:hAnsi="Calibri" w:cs="Calibri"/>
          <w:sz w:val="18"/>
          <w:szCs w:val="18"/>
        </w:rPr>
      </w:pPr>
      <w:r w:rsidRPr="00B75A3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B75A3E">
        <w:rPr>
          <w:rFonts w:ascii="Calibri" w:hAnsi="Calibri" w:cs="Calibri"/>
          <w:sz w:val="18"/>
          <w:szCs w:val="18"/>
        </w:rPr>
        <w:t xml:space="preserve"> Nie dotyczy sytuacji, w których niezrealizowanie zakładanych wskaźników oraz niewywiązanie się beneficjenta z deklaracji podlegających ocenie w ramach kryteriów wyboru projektu skutkowałoby niespełnieniem kryteriów i/lub negatywną oceną projektu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96B96" w14:textId="4B962A63" w:rsidR="00451000" w:rsidRDefault="00451000">
    <w:pPr>
      <w:pStyle w:val="Nagwek"/>
    </w:pPr>
    <w:r>
      <w:rPr>
        <w:noProof/>
        <w:lang w:eastAsia="pl-PL"/>
      </w:rPr>
      <w:drawing>
        <wp:inline distT="0" distB="0" distL="0" distR="0" wp14:anchorId="5AE4E909" wp14:editId="45A1F160">
          <wp:extent cx="5760720" cy="615882"/>
          <wp:effectExtent l="0" t="0" r="0" b="0"/>
          <wp:docPr id="541867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58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00"/>
    <w:rsid w:val="00035FC8"/>
    <w:rsid w:val="00036EDA"/>
    <w:rsid w:val="00160ABF"/>
    <w:rsid w:val="0021403F"/>
    <w:rsid w:val="00263D14"/>
    <w:rsid w:val="00275D49"/>
    <w:rsid w:val="00284665"/>
    <w:rsid w:val="00451000"/>
    <w:rsid w:val="00626B27"/>
    <w:rsid w:val="00666BAA"/>
    <w:rsid w:val="007930D4"/>
    <w:rsid w:val="00860DBB"/>
    <w:rsid w:val="00B75A3E"/>
    <w:rsid w:val="00BC1267"/>
    <w:rsid w:val="00D9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4A95"/>
  <w15:chartTrackingRefBased/>
  <w15:docId w15:val="{55706F97-660A-4CE7-AE6B-2FF8967C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1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1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1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1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1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1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1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1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1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1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1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1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10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10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10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10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10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10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1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1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1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1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1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10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10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10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1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10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100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51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00"/>
  </w:style>
  <w:style w:type="paragraph" w:styleId="Stopka">
    <w:name w:val="footer"/>
    <w:basedOn w:val="Normalny"/>
    <w:link w:val="StopkaZnak"/>
    <w:uiPriority w:val="99"/>
    <w:unhideWhenUsed/>
    <w:rsid w:val="00451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0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10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10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1000"/>
    <w:rPr>
      <w:vertAlign w:val="superscript"/>
    </w:rPr>
  </w:style>
  <w:style w:type="table" w:styleId="Tabela-Siatka">
    <w:name w:val="Table Grid"/>
    <w:basedOn w:val="Standardowy"/>
    <w:uiPriority w:val="39"/>
    <w:rsid w:val="00263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E3D87-4CC1-49C5-9941-2FADB71E8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Pietrzak</dc:creator>
  <cp:keywords/>
  <dc:description/>
  <cp:lastModifiedBy>Dell</cp:lastModifiedBy>
  <cp:revision>4</cp:revision>
  <dcterms:created xsi:type="dcterms:W3CDTF">2026-10-13T09:34:00Z</dcterms:created>
  <dcterms:modified xsi:type="dcterms:W3CDTF">2026-10-19T09:05:00Z</dcterms:modified>
</cp:coreProperties>
</file>